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36" w:rsidRDefault="00EA65AF">
      <w:pPr>
        <w:rPr>
          <w:rFonts w:ascii="Arial" w:eastAsia="Arial" w:hAnsi="Arial" w:cs="Arial"/>
        </w:rPr>
      </w:pPr>
      <w:bookmarkStart w:id="0" w:name="_GoBack"/>
      <w:bookmarkEnd w:id="0"/>
      <w:r>
        <w:rPr>
          <w:rFonts w:ascii="Impact" w:eastAsia="Impact" w:hAnsi="Impact" w:cs="Impact"/>
        </w:rPr>
        <w:t xml:space="preserve">FARMACIOLA PARA CAMPO DE REFUGIADOS </w:t>
      </w:r>
      <w:r>
        <w:rPr>
          <w:rFonts w:ascii="Impact" w:eastAsia="Impact" w:hAnsi="Impact" w:cs="Impact"/>
        </w:rPr>
        <w:br/>
        <w:t>-Antivirales</w:t>
      </w:r>
    </w:p>
    <w:p w:rsidR="002E5036" w:rsidRDefault="002E50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8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6015"/>
      </w:tblGrid>
      <w:tr w:rsidR="002E5036">
        <w:tc>
          <w:tcPr>
            <w:tcW w:w="8340" w:type="dxa"/>
            <w:gridSpan w:val="2"/>
          </w:tcPr>
          <w:p w:rsidR="002E5036" w:rsidRDefault="002E5036"/>
          <w:p w:rsidR="002E5036" w:rsidRDefault="00EA65AF">
            <w:pPr>
              <w:pStyle w:val="Ttulo1"/>
              <w:keepNext w:val="0"/>
              <w:keepLines w:val="0"/>
              <w:shd w:val="clear" w:color="auto" w:fill="FFFFFF"/>
              <w:jc w:val="center"/>
              <w:outlineLvl w:val="0"/>
              <w:rPr>
                <w:rFonts w:ascii="Impact" w:eastAsia="Impact" w:hAnsi="Impact" w:cs="Impact"/>
                <w:b w:val="0"/>
                <w:color w:val="333333"/>
                <w:sz w:val="36"/>
                <w:szCs w:val="36"/>
              </w:rPr>
            </w:pPr>
            <w:bookmarkStart w:id="1" w:name="_rix1u79qjo2j" w:colFirst="0" w:colLast="0"/>
            <w:bookmarkEnd w:id="1"/>
            <w:r>
              <w:rPr>
                <w:rFonts w:ascii="Impact" w:eastAsia="Impact" w:hAnsi="Impact" w:cs="Impact"/>
                <w:b w:val="0"/>
                <w:color w:val="333333"/>
                <w:sz w:val="36"/>
                <w:szCs w:val="36"/>
              </w:rPr>
              <w:t xml:space="preserve">ACICLOVIR MYLAN Comp. 200 mg   </w:t>
            </w:r>
          </w:p>
          <w:p w:rsidR="002E5036" w:rsidRDefault="002E5036">
            <w:pPr>
              <w:rPr>
                <w:rFonts w:ascii="Impact" w:eastAsia="Impact" w:hAnsi="Impact" w:cs="Impact"/>
              </w:rPr>
            </w:pP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CÓDIGO NACIONAL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Nunito" w:eastAsia="Nunito" w:hAnsi="Nunito" w:cs="Nunito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Nunito" w:eastAsia="Nunito" w:hAnsi="Nunito" w:cs="Nunito"/>
                <w:color w:val="333333"/>
                <w:sz w:val="21"/>
                <w:szCs w:val="21"/>
              </w:rPr>
              <w:t>855080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CÓDIGO ATC</w:t>
            </w:r>
          </w:p>
        </w:tc>
        <w:tc>
          <w:tcPr>
            <w:tcW w:w="6015" w:type="dxa"/>
          </w:tcPr>
          <w:p w:rsidR="002E5036" w:rsidRDefault="00EA65AF">
            <w:pPr>
              <w:pStyle w:val="Ttulo1"/>
              <w:keepNext w:val="0"/>
              <w:keepLines w:val="0"/>
              <w:spacing w:before="0"/>
              <w:outlineLvl w:val="0"/>
              <w:rPr>
                <w:rFonts w:ascii="Nunito" w:eastAsia="Nunito" w:hAnsi="Nunito" w:cs="Nunito"/>
                <w:b w:val="0"/>
                <w:color w:val="333333"/>
                <w:sz w:val="22"/>
                <w:szCs w:val="22"/>
              </w:rPr>
            </w:pPr>
            <w:bookmarkStart w:id="2" w:name="_t9ix0215c2f1" w:colFirst="0" w:colLast="0"/>
            <w:bookmarkEnd w:id="2"/>
            <w:r>
              <w:rPr>
                <w:rFonts w:ascii="Nunito" w:eastAsia="Nunito" w:hAnsi="Nunito" w:cs="Nunito"/>
                <w:b w:val="0"/>
                <w:color w:val="333333"/>
                <w:sz w:val="22"/>
                <w:szCs w:val="22"/>
              </w:rPr>
              <w:t>J05AB01</w:t>
            </w:r>
          </w:p>
          <w:p w:rsidR="002E5036" w:rsidRDefault="002E5036"/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CLASIFICACIÓN TERAPÉUTICA</w:t>
            </w:r>
          </w:p>
        </w:tc>
        <w:tc>
          <w:tcPr>
            <w:tcW w:w="6015" w:type="dxa"/>
          </w:tcPr>
          <w:p w:rsidR="002E5036" w:rsidRDefault="00EA65AF">
            <w:pPr>
              <w:pStyle w:val="Ttulo1"/>
              <w:keepNext w:val="0"/>
              <w:keepLines w:val="0"/>
              <w:spacing w:before="0"/>
              <w:outlineLvl w:val="0"/>
              <w:rPr>
                <w:rFonts w:ascii="Nunito" w:eastAsia="Nunito" w:hAnsi="Nunito" w:cs="Nunito"/>
                <w:b w:val="0"/>
                <w:color w:val="333333"/>
                <w:sz w:val="22"/>
                <w:szCs w:val="22"/>
              </w:rPr>
            </w:pPr>
            <w:bookmarkStart w:id="3" w:name="_iah6v7man8ps" w:colFirst="0" w:colLast="0"/>
            <w:bookmarkEnd w:id="3"/>
            <w:r>
              <w:rPr>
                <w:rFonts w:ascii="Nunito" w:eastAsia="Nunito" w:hAnsi="Nunito" w:cs="Nunito"/>
                <w:b w:val="0"/>
                <w:color w:val="333333"/>
                <w:sz w:val="22"/>
                <w:szCs w:val="22"/>
              </w:rPr>
              <w:t>Antivirales de acción directa</w:t>
            </w:r>
          </w:p>
          <w:p w:rsidR="002E5036" w:rsidRDefault="002E5036"/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PRINCIPIO ACTIVO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ACICLOVIR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6015" w:type="dxa"/>
          </w:tcPr>
          <w:p w:rsidR="002E5036" w:rsidRDefault="00EA65AF">
            <w:r>
              <w:t>COMPRIMIDOS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INDICACIONES</w:t>
            </w:r>
          </w:p>
        </w:tc>
        <w:tc>
          <w:tcPr>
            <w:tcW w:w="6015" w:type="dxa"/>
          </w:tcPr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  <w:i/>
                <w:color w:val="222222"/>
                <w:highlight w:val="white"/>
              </w:rPr>
            </w:pPr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Oral: </w:t>
            </w:r>
            <w:proofErr w:type="spell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de</w:t>
            </w:r>
            <w:proofErr w:type="gram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 infecciones de la piel y membranas mucosas producidas por el virus herpes </w:t>
            </w:r>
            <w:proofErr w:type="spell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simplex</w:t>
            </w:r>
            <w:proofErr w:type="spell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 (VHS), incluyendo herpes genital inicial y recurrente (excluyendo infecciones por VHS en neonatos e infecciones graves por VHS en niños inmunodeprimidos); preve</w:t>
            </w:r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nción de infecciones recurrentes provocadas por VHS en </w:t>
            </w:r>
            <w:proofErr w:type="spell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inmunocompetentes</w:t>
            </w:r>
            <w:proofErr w:type="spell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; profilaxis de las infecciones provocadas por VHS en inmunodeprimidos; </w:t>
            </w:r>
            <w:proofErr w:type="spell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de</w:t>
            </w:r>
            <w:proofErr w:type="gram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 varicela y herpes zoster en </w:t>
            </w:r>
            <w:proofErr w:type="spellStart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inmunocompetentes</w:t>
            </w:r>
            <w:proofErr w:type="spellEnd"/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 xml:space="preserve">. </w:t>
            </w:r>
          </w:p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Trebuchet MS" w:eastAsia="Trebuchet MS" w:hAnsi="Trebuchet MS" w:cs="Trebuchet MS"/>
                <w:b/>
                <w:color w:val="333333"/>
              </w:rPr>
            </w:pPr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IV: infección por herpes simple y profilaxis en inmunoco</w:t>
            </w:r>
            <w:r>
              <w:rPr>
                <w:rFonts w:ascii="Nunito" w:eastAsia="Nunito" w:hAnsi="Nunito" w:cs="Nunito"/>
                <w:i/>
                <w:color w:val="222222"/>
                <w:highlight w:val="white"/>
              </w:rPr>
              <w:t>mprometidos, inmunodeprimidos con herpes zóster, en especial infecciones cutáneas progresivas o diseminadas, infección por herpes simple en neonat</w:t>
            </w:r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os.</w:t>
            </w:r>
          </w:p>
          <w:p w:rsidR="002E5036" w:rsidRDefault="002E5036"/>
        </w:tc>
      </w:tr>
      <w:tr w:rsidR="002E5036">
        <w:trPr>
          <w:trHeight w:val="240"/>
        </w:trPr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CONTRAINDICACIONES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Hipersensibilidad a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aciclovir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valaciclovir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 o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ganciclovir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>.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ADVERTENCIAS</w:t>
            </w:r>
          </w:p>
        </w:tc>
        <w:tc>
          <w:tcPr>
            <w:tcW w:w="6015" w:type="dxa"/>
          </w:tcPr>
          <w:p w:rsidR="002E5036" w:rsidRDefault="00EA65AF">
            <w:pPr>
              <w:numPr>
                <w:ilvl w:val="0"/>
                <w:numId w:val="1"/>
              </w:numPr>
              <w:spacing w:before="80" w:line="384" w:lineRule="auto"/>
              <w:ind w:left="118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333333"/>
              </w:rPr>
              <w:t xml:space="preserve">Si padece alguna enfermedad del riñón o tiene usted edad avanzada, es posible que su médico utilice una dosis más baja. El riesgo de </w:t>
            </w:r>
            <w:r>
              <w:rPr>
                <w:rFonts w:ascii="Nunito" w:eastAsia="Nunito" w:hAnsi="Nunito" w:cs="Nunito"/>
                <w:color w:val="333333"/>
              </w:rPr>
              <w:lastRenderedPageBreak/>
              <w:t xml:space="preserve">padecer insuficiencia renal aumenta con el uso de fármacos </w:t>
            </w:r>
            <w:proofErr w:type="spellStart"/>
            <w:r>
              <w:rPr>
                <w:rFonts w:ascii="Nunito" w:eastAsia="Nunito" w:hAnsi="Nunito" w:cs="Nunito"/>
                <w:color w:val="333333"/>
              </w:rPr>
              <w:t>nefrotóxicos</w:t>
            </w:r>
            <w:proofErr w:type="spellEnd"/>
            <w:r>
              <w:rPr>
                <w:rFonts w:ascii="Nunito" w:eastAsia="Nunito" w:hAnsi="Nunito" w:cs="Nunito"/>
                <w:color w:val="333333"/>
              </w:rPr>
              <w:t xml:space="preserve"> (medicamentos que producen toxicidad en el riñón).</w:t>
            </w:r>
          </w:p>
          <w:p w:rsidR="002E5036" w:rsidRDefault="00EA65AF">
            <w:pPr>
              <w:numPr>
                <w:ilvl w:val="0"/>
                <w:numId w:val="1"/>
              </w:numPr>
              <w:spacing w:line="384" w:lineRule="auto"/>
              <w:ind w:left="1180"/>
              <w:rPr>
                <w:rFonts w:ascii="Nunito" w:eastAsia="Nunito" w:hAnsi="Nunito" w:cs="Nunito"/>
                <w:color w:val="333333"/>
              </w:rPr>
            </w:pPr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Insuficiencia renal (I.R.) y ancianos ajustar dosis y monitorizar; inmunodeprimidos en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. prolongado;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. concomitante con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nefrotóxicos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 incrementan el riesgo de I.R.; mantener buena hidratación;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infus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>. muy lenta, mín. 1 h.</w:t>
            </w:r>
          </w:p>
          <w:p w:rsidR="002E5036" w:rsidRDefault="00EA65AF">
            <w:pPr>
              <w:numPr>
                <w:ilvl w:val="0"/>
                <w:numId w:val="1"/>
              </w:numPr>
              <w:spacing w:line="384" w:lineRule="auto"/>
              <w:ind w:left="118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333333"/>
              </w:rPr>
              <w:t>Asimismo, debe beber suficient</w:t>
            </w:r>
            <w:r>
              <w:rPr>
                <w:rFonts w:ascii="Nunito" w:eastAsia="Nunito" w:hAnsi="Nunito" w:cs="Nunito"/>
                <w:color w:val="333333"/>
              </w:rPr>
              <w:t>e cantidad de líquido durante el tratamiento para mantener una hidratación adecuada.</w:t>
            </w:r>
          </w:p>
          <w:p w:rsidR="002E5036" w:rsidRDefault="00EA65AF">
            <w:pPr>
              <w:numPr>
                <w:ilvl w:val="0"/>
                <w:numId w:val="1"/>
              </w:numPr>
              <w:spacing w:line="384" w:lineRule="auto"/>
              <w:ind w:left="118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333333"/>
              </w:rPr>
              <w:t xml:space="preserve">En personas de edad avanzada se recomienda un aporte de líquido adecuado mientras estén sometidas a altas dosis de </w:t>
            </w:r>
            <w:proofErr w:type="spellStart"/>
            <w:r>
              <w:rPr>
                <w:rFonts w:ascii="Nunito" w:eastAsia="Nunito" w:hAnsi="Nunito" w:cs="Nunito"/>
                <w:color w:val="333333"/>
              </w:rPr>
              <w:t>aciclovir</w:t>
            </w:r>
            <w:proofErr w:type="spellEnd"/>
            <w:r>
              <w:rPr>
                <w:rFonts w:ascii="Nunito" w:eastAsia="Nunito" w:hAnsi="Nunito" w:cs="Nunito"/>
                <w:color w:val="333333"/>
              </w:rPr>
              <w:t xml:space="preserve"> por vía oral.</w:t>
            </w:r>
          </w:p>
          <w:p w:rsidR="002E5036" w:rsidRDefault="00EA65AF">
            <w:pPr>
              <w:numPr>
                <w:ilvl w:val="0"/>
                <w:numId w:val="1"/>
              </w:numPr>
              <w:spacing w:line="384" w:lineRule="auto"/>
              <w:ind w:left="118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333333"/>
              </w:rPr>
              <w:t>Se deben evitar las relaciones s</w:t>
            </w:r>
            <w:r>
              <w:rPr>
                <w:rFonts w:ascii="Nunito" w:eastAsia="Nunito" w:hAnsi="Nunito" w:cs="Nunito"/>
                <w:color w:val="333333"/>
              </w:rPr>
              <w:t>exuales en pacientes de herpes genital con lesiones visibles ya que existe el riesgo de transmitir la infección a la pareja.</w:t>
            </w:r>
          </w:p>
          <w:p w:rsidR="002E5036" w:rsidRDefault="00EA65AF">
            <w:pPr>
              <w:pStyle w:val="Ttulo2"/>
              <w:keepNext w:val="0"/>
              <w:keepLines w:val="0"/>
              <w:numPr>
                <w:ilvl w:val="0"/>
                <w:numId w:val="1"/>
              </w:numPr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  <w:between w:val="none" w:sz="0" w:space="3" w:color="auto"/>
              </w:pBdr>
              <w:shd w:val="clear" w:color="auto" w:fill="FFFFFF"/>
              <w:spacing w:before="0" w:after="340"/>
              <w:outlineLvl w:val="1"/>
              <w:rPr>
                <w:rFonts w:ascii="Nunito" w:eastAsia="Nunito" w:hAnsi="Nunito" w:cs="Nunito"/>
                <w:sz w:val="22"/>
                <w:szCs w:val="22"/>
              </w:rPr>
            </w:pPr>
            <w:bookmarkStart w:id="4" w:name="_192lpw12l70a" w:colFirst="0" w:colLast="0"/>
            <w:bookmarkEnd w:id="4"/>
            <w:r>
              <w:rPr>
                <w:rFonts w:ascii="Nunito" w:eastAsia="Nunito" w:hAnsi="Nunito" w:cs="Nunito"/>
                <w:color w:val="333333"/>
                <w:sz w:val="22"/>
                <w:szCs w:val="22"/>
              </w:rPr>
              <w:t>Insuficiencia renal</w:t>
            </w:r>
            <w:r>
              <w:rPr>
                <w:rFonts w:ascii="Nunito" w:eastAsia="Nunito" w:hAnsi="Nunito" w:cs="Nunito"/>
                <w:color w:val="333333"/>
                <w:sz w:val="22"/>
                <w:szCs w:val="22"/>
              </w:rPr>
              <w:br/>
            </w:r>
            <w:r>
              <w:rPr>
                <w:rFonts w:ascii="Nunito" w:eastAsia="Nunito" w:hAnsi="Nunito" w:cs="Nunito"/>
                <w:b w:val="0"/>
                <w:color w:val="222222"/>
                <w:sz w:val="22"/>
                <w:szCs w:val="22"/>
              </w:rPr>
              <w:t xml:space="preserve">Precaución, ajustar dosis según </w:t>
            </w:r>
            <w:proofErr w:type="spellStart"/>
            <w:r>
              <w:rPr>
                <w:rFonts w:ascii="Nunito" w:eastAsia="Nunito" w:hAnsi="Nunito" w:cs="Nunito"/>
                <w:b w:val="0"/>
                <w:color w:val="222222"/>
                <w:sz w:val="22"/>
                <w:szCs w:val="22"/>
              </w:rPr>
              <w:t>Clcr</w:t>
            </w:r>
            <w:proofErr w:type="spellEnd"/>
            <w:r>
              <w:rPr>
                <w:rFonts w:ascii="Nunito" w:eastAsia="Nunito" w:hAnsi="Nunito" w:cs="Nunito"/>
                <w:b w:val="0"/>
                <w:color w:val="222222"/>
                <w:sz w:val="22"/>
                <w:szCs w:val="22"/>
              </w:rPr>
              <w:t xml:space="preserve"> y monitorizar (mayor riesgo de desarrollar reacciones adversas neurológicas).</w:t>
            </w:r>
          </w:p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  <w:color w:val="333333"/>
              </w:rPr>
            </w:pPr>
            <w:r>
              <w:rPr>
                <w:rFonts w:ascii="Nunito" w:eastAsia="Nunito" w:hAnsi="Nunito" w:cs="Nunito"/>
                <w:color w:val="333333"/>
              </w:rPr>
              <w:t xml:space="preserve">Consulte a su médico, incluso si cualquiera de las circunstancias anteriormente mencionadas le </w:t>
            </w:r>
            <w:proofErr w:type="gramStart"/>
            <w:r>
              <w:rPr>
                <w:rFonts w:ascii="Nunito" w:eastAsia="Nunito" w:hAnsi="Nunito" w:cs="Nunito"/>
                <w:color w:val="333333"/>
              </w:rPr>
              <w:t>hubieran</w:t>
            </w:r>
            <w:proofErr w:type="gramEnd"/>
            <w:r>
              <w:rPr>
                <w:rFonts w:ascii="Nunito" w:eastAsia="Nunito" w:hAnsi="Nunito" w:cs="Nunito"/>
                <w:color w:val="333333"/>
              </w:rPr>
              <w:t xml:space="preserve"> ocurrido alguna vez.</w:t>
            </w:r>
          </w:p>
          <w:p w:rsidR="002E5036" w:rsidRDefault="002E5036"/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lastRenderedPageBreak/>
              <w:t>LACTÀNCIA y EMBARAZO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Nunito" w:eastAsia="Nunito" w:hAnsi="Nunito" w:cs="Nunito"/>
                <w:color w:val="333333"/>
                <w:highlight w:val="white"/>
              </w:rPr>
            </w:pPr>
            <w:r>
              <w:rPr>
                <w:rFonts w:ascii="Nunito" w:eastAsia="Nunito" w:hAnsi="Nunito" w:cs="Nunito"/>
                <w:color w:val="333333"/>
                <w:highlight w:val="white"/>
              </w:rPr>
              <w:t>Si está embarazada o en periodo de lactancia, cree que podría estar embarazada o tiene intención de quedarse embarazada, consulte a su médico o farmacéutico antes de utilizar este medicamento.</w:t>
            </w:r>
          </w:p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  <w:highlight w:val="white"/>
              </w:rPr>
            </w:pPr>
            <w:r>
              <w:rPr>
                <w:rFonts w:ascii="Nunito" w:eastAsia="Nunito" w:hAnsi="Nunito" w:cs="Nunito"/>
                <w:i/>
                <w:color w:val="333333"/>
                <w:highlight w:val="white"/>
              </w:rPr>
              <w:br/>
            </w:r>
            <w:r>
              <w:rPr>
                <w:rFonts w:ascii="Nunito" w:eastAsia="Nunito" w:hAnsi="Nunito" w:cs="Nunito"/>
                <w:b/>
                <w:i/>
                <w:color w:val="333333"/>
                <w:highlight w:val="white"/>
              </w:rPr>
              <w:lastRenderedPageBreak/>
              <w:t>Embarazo</w:t>
            </w:r>
            <w:r>
              <w:rPr>
                <w:rFonts w:ascii="Nunito" w:eastAsia="Nunito" w:hAnsi="Nunito" w:cs="Nunito"/>
                <w:i/>
                <w:color w:val="333333"/>
                <w:highlight w:val="white"/>
              </w:rPr>
              <w:br/>
            </w:r>
            <w:r>
              <w:rPr>
                <w:rFonts w:ascii="Nunito" w:eastAsia="Nunito" w:hAnsi="Nunito" w:cs="Nunito"/>
                <w:highlight w:val="white"/>
              </w:rPr>
              <w:t>La experiencia en humanos es lim</w:t>
            </w:r>
            <w:r>
              <w:rPr>
                <w:rFonts w:ascii="Nunito" w:eastAsia="Nunito" w:hAnsi="Nunito" w:cs="Nunito"/>
                <w:highlight w:val="white"/>
              </w:rPr>
              <w:t xml:space="preserve">itada, por ello </w:t>
            </w:r>
            <w:proofErr w:type="spellStart"/>
            <w:r>
              <w:rPr>
                <w:rFonts w:ascii="Nunito" w:eastAsia="Nunito" w:hAnsi="Nunito" w:cs="Nunito"/>
                <w:highlight w:val="white"/>
              </w:rPr>
              <w:t>aciclovir</w:t>
            </w:r>
            <w:proofErr w:type="spellEnd"/>
            <w:r>
              <w:rPr>
                <w:rFonts w:ascii="Nunito" w:eastAsia="Nunito" w:hAnsi="Nunito" w:cs="Nunito"/>
                <w:highlight w:val="white"/>
              </w:rPr>
              <w:t xml:space="preserve"> sólo se utilizará en aquellos casos en los que previamente la valoración beneficio-riesgo de su aplicación aconseje su utilización.</w:t>
            </w:r>
          </w:p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  <w:b/>
                <w:i/>
                <w:color w:val="333333"/>
                <w:highlight w:val="white"/>
              </w:rPr>
            </w:pPr>
            <w:r>
              <w:rPr>
                <w:rFonts w:ascii="Nunito" w:eastAsia="Nunito" w:hAnsi="Nunito" w:cs="Nunito"/>
                <w:b/>
                <w:i/>
                <w:color w:val="333333"/>
                <w:highlight w:val="white"/>
              </w:rPr>
              <w:t>Lactancia</w:t>
            </w:r>
          </w:p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  <w:highlight w:val="white"/>
              </w:rPr>
            </w:pPr>
            <w:r>
              <w:rPr>
                <w:rFonts w:ascii="Nunito" w:eastAsia="Nunito" w:hAnsi="Nunito" w:cs="Nunito"/>
                <w:highlight w:val="white"/>
              </w:rPr>
              <w:t>Estudios realizados en humanos muestran que después de la administración de este medicam</w:t>
            </w:r>
            <w:r>
              <w:rPr>
                <w:rFonts w:ascii="Nunito" w:eastAsia="Nunito" w:hAnsi="Nunito" w:cs="Nunito"/>
                <w:highlight w:val="white"/>
              </w:rPr>
              <w:t xml:space="preserve">ento, puede aparecer </w:t>
            </w:r>
            <w:proofErr w:type="spellStart"/>
            <w:r>
              <w:rPr>
                <w:rFonts w:ascii="Nunito" w:eastAsia="Nunito" w:hAnsi="Nunito" w:cs="Nunito"/>
                <w:highlight w:val="white"/>
              </w:rPr>
              <w:t>aciclovir</w:t>
            </w:r>
            <w:proofErr w:type="spellEnd"/>
            <w:r>
              <w:rPr>
                <w:rFonts w:ascii="Nunito" w:eastAsia="Nunito" w:hAnsi="Nunito" w:cs="Nunito"/>
                <w:highlight w:val="white"/>
              </w:rPr>
              <w:t xml:space="preserve"> en la leche materna, por lo que se aconseja sustituir la lactancia natural.</w:t>
            </w:r>
          </w:p>
          <w:p w:rsidR="002E5036" w:rsidRDefault="002E5036">
            <w:pPr>
              <w:shd w:val="clear" w:color="auto" w:fill="FFFFFF"/>
              <w:spacing w:before="40" w:after="160" w:line="384" w:lineRule="auto"/>
              <w:rPr>
                <w:rFonts w:ascii="Trebuchet MS" w:eastAsia="Trebuchet MS" w:hAnsi="Trebuchet MS" w:cs="Trebuchet MS"/>
                <w:color w:val="980000"/>
                <w:highlight w:val="white"/>
              </w:rPr>
            </w:pPr>
          </w:p>
          <w:p w:rsidR="002E5036" w:rsidRDefault="002E5036">
            <w:pPr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lastRenderedPageBreak/>
              <w:t>INTERACCIONES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Nunito" w:eastAsia="Nunito" w:hAnsi="Nunito" w:cs="Nunito"/>
                <w:color w:val="222222"/>
                <w:highlight w:val="white"/>
              </w:rPr>
            </w:pPr>
            <w:r>
              <w:rPr>
                <w:rFonts w:ascii="Nunito" w:eastAsia="Nunito" w:hAnsi="Nunito" w:cs="Nunito"/>
                <w:color w:val="222222"/>
                <w:highlight w:val="white"/>
              </w:rPr>
              <w:t>AUC (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Àrea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 xml:space="preserve"> bajo la curva) aumentada por: </w:t>
            </w:r>
            <w:proofErr w:type="spellStart"/>
            <w:r>
              <w:rPr>
                <w:rFonts w:ascii="Nunito" w:eastAsia="Nunito" w:hAnsi="Nunito" w:cs="Nunito"/>
                <w:color w:val="222222"/>
                <w:highlight w:val="white"/>
              </w:rPr>
              <w:t>probenecid</w:t>
            </w:r>
            <w:proofErr w:type="spellEnd"/>
            <w:r>
              <w:rPr>
                <w:rFonts w:ascii="Nunito" w:eastAsia="Nunito" w:hAnsi="Nunito" w:cs="Nunito"/>
                <w:color w:val="222222"/>
                <w:highlight w:val="white"/>
              </w:rPr>
              <w:t>, cimetidina.</w:t>
            </w:r>
          </w:p>
          <w:p w:rsidR="002E5036" w:rsidRDefault="00EA65AF">
            <w:pPr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222222"/>
                <w:highlight w:val="white"/>
              </w:rPr>
              <w:t>Controlar concentraciones plasmáticas de: teofilina.</w:t>
            </w:r>
          </w:p>
        </w:tc>
      </w:tr>
    </w:tbl>
    <w:p w:rsidR="002E5036" w:rsidRDefault="002E5036">
      <w:pPr>
        <w:rPr>
          <w:rFonts w:ascii="Impact" w:eastAsia="Impact" w:hAnsi="Impact" w:cs="Impact"/>
        </w:rPr>
      </w:pPr>
    </w:p>
    <w:p w:rsidR="002E5036" w:rsidRDefault="002E5036">
      <w:pPr>
        <w:rPr>
          <w:rFonts w:ascii="Impact" w:eastAsia="Impact" w:hAnsi="Impact" w:cs="Impact"/>
        </w:rPr>
      </w:pPr>
    </w:p>
    <w:p w:rsidR="002E5036" w:rsidRDefault="002E5036">
      <w:pPr>
        <w:rPr>
          <w:rFonts w:ascii="Impact" w:eastAsia="Impact" w:hAnsi="Impact" w:cs="Impact"/>
        </w:rPr>
      </w:pPr>
    </w:p>
    <w:p w:rsidR="002E5036" w:rsidRDefault="002E5036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0"/>
        <w:tblW w:w="8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6015"/>
      </w:tblGrid>
      <w:tr w:rsidR="002E5036">
        <w:tc>
          <w:tcPr>
            <w:tcW w:w="8340" w:type="dxa"/>
            <w:gridSpan w:val="2"/>
          </w:tcPr>
          <w:p w:rsidR="002E5036" w:rsidRDefault="002E5036"/>
          <w:p w:rsidR="002E5036" w:rsidRDefault="00EA65AF">
            <w:pPr>
              <w:pStyle w:val="Ttulo1"/>
              <w:keepNext w:val="0"/>
              <w:keepLines w:val="0"/>
              <w:shd w:val="clear" w:color="auto" w:fill="FFFFFF"/>
              <w:jc w:val="center"/>
              <w:outlineLvl w:val="0"/>
              <w:rPr>
                <w:rFonts w:ascii="Impact" w:eastAsia="Impact" w:hAnsi="Impact" w:cs="Impact"/>
                <w:b w:val="0"/>
                <w:color w:val="333333"/>
                <w:sz w:val="36"/>
                <w:szCs w:val="36"/>
              </w:rPr>
            </w:pPr>
            <w:bookmarkStart w:id="5" w:name="_525tzgpk8mva" w:colFirst="0" w:colLast="0"/>
            <w:bookmarkEnd w:id="5"/>
            <w:r>
              <w:rPr>
                <w:rFonts w:ascii="Impact" w:eastAsia="Impact" w:hAnsi="Impact" w:cs="Impact"/>
                <w:b w:val="0"/>
                <w:color w:val="333333"/>
                <w:sz w:val="36"/>
                <w:szCs w:val="36"/>
              </w:rPr>
              <w:t>LAMIVUDINA</w:t>
            </w:r>
          </w:p>
          <w:p w:rsidR="002E5036" w:rsidRDefault="002E5036">
            <w:pPr>
              <w:rPr>
                <w:rFonts w:ascii="Impact" w:eastAsia="Impact" w:hAnsi="Impact" w:cs="Impact"/>
              </w:rPr>
            </w:pP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CÓDIGO NACIONAL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Nunito" w:eastAsia="Nunito" w:hAnsi="Nunito" w:cs="Nunito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545454"/>
                <w:highlight w:val="white"/>
              </w:rPr>
              <w:t>704744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CÓDIGO ATC</w:t>
            </w:r>
          </w:p>
        </w:tc>
        <w:tc>
          <w:tcPr>
            <w:tcW w:w="6015" w:type="dxa"/>
          </w:tcPr>
          <w:p w:rsidR="002E5036" w:rsidRDefault="00EA65AF">
            <w:pPr>
              <w:pStyle w:val="Ttulo1"/>
              <w:keepNext w:val="0"/>
              <w:keepLines w:val="0"/>
              <w:spacing w:before="0"/>
              <w:outlineLvl w:val="0"/>
              <w:rPr>
                <w:rFonts w:ascii="Nunito" w:eastAsia="Nunito" w:hAnsi="Nunito" w:cs="Nunito"/>
                <w:b w:val="0"/>
                <w:color w:val="333333"/>
                <w:sz w:val="22"/>
                <w:szCs w:val="22"/>
              </w:rPr>
            </w:pPr>
            <w:bookmarkStart w:id="6" w:name="_9q18ylizw2u" w:colFirst="0" w:colLast="0"/>
            <w:bookmarkEnd w:id="6"/>
            <w:r>
              <w:rPr>
                <w:rFonts w:ascii="Arial" w:eastAsia="Arial" w:hAnsi="Arial" w:cs="Arial"/>
                <w:b w:val="0"/>
                <w:color w:val="777777"/>
                <w:sz w:val="22"/>
                <w:szCs w:val="22"/>
                <w:highlight w:val="white"/>
              </w:rPr>
              <w:t>J05AF05</w:t>
            </w:r>
          </w:p>
          <w:p w:rsidR="002E5036" w:rsidRDefault="002E5036"/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CLASIFICACIÓN TERAPÉUTICA</w:t>
            </w:r>
          </w:p>
        </w:tc>
        <w:bookmarkStart w:id="7" w:name="_mt4zpgb3l1ag" w:colFirst="0" w:colLast="0"/>
        <w:bookmarkEnd w:id="7"/>
        <w:tc>
          <w:tcPr>
            <w:tcW w:w="6015" w:type="dxa"/>
          </w:tcPr>
          <w:p w:rsidR="002E5036" w:rsidRDefault="00EA65AF">
            <w:pPr>
              <w:pStyle w:val="Ttulo1"/>
              <w:keepNext w:val="0"/>
              <w:keepLines w:val="0"/>
              <w:spacing w:before="0"/>
              <w:outlineLvl w:val="0"/>
              <w:rPr>
                <w:rFonts w:ascii="Nunito" w:eastAsia="Nunito" w:hAnsi="Nunito" w:cs="Nunito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"https://www.vademecum.es/atc-j" \h </w:instrText>
            </w:r>
            <w:r>
              <w:fldChar w:fldCharType="separate"/>
            </w:r>
            <w:proofErr w:type="spellStart"/>
            <w:r>
              <w:rPr>
                <w:rFonts w:ascii="Nunito" w:eastAsia="Nunito" w:hAnsi="Nunito" w:cs="Nunito"/>
                <w:b w:val="0"/>
                <w:sz w:val="24"/>
                <w:szCs w:val="24"/>
              </w:rPr>
              <w:t>Antiinfecciosos</w:t>
            </w:r>
            <w:proofErr w:type="spellEnd"/>
            <w:r>
              <w:rPr>
                <w:rFonts w:ascii="Nunito" w:eastAsia="Nunito" w:hAnsi="Nunito" w:cs="Nunito"/>
                <w:b w:val="0"/>
                <w:sz w:val="24"/>
                <w:szCs w:val="24"/>
              </w:rPr>
              <w:t xml:space="preserve"> para uso sistémico </w:t>
            </w:r>
            <w:r>
              <w:rPr>
                <w:rFonts w:ascii="Nunito" w:eastAsia="Nunito" w:hAnsi="Nunito" w:cs="Nunito"/>
                <w:b w:val="0"/>
                <w:sz w:val="24"/>
                <w:szCs w:val="24"/>
              </w:rPr>
              <w:fldChar w:fldCharType="end"/>
            </w:r>
            <w:r>
              <w:rPr>
                <w:rFonts w:ascii="Nunito" w:eastAsia="Nunito" w:hAnsi="Nunito" w:cs="Nunito"/>
                <w:b w:val="0"/>
                <w:sz w:val="24"/>
                <w:szCs w:val="24"/>
                <w:highlight w:val="white"/>
              </w:rPr>
              <w:t xml:space="preserve"> </w:t>
            </w:r>
          </w:p>
          <w:p w:rsidR="002E5036" w:rsidRDefault="002E5036"/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PRINCIPIO ACTIVO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LAMIVUDINA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6015" w:type="dxa"/>
          </w:tcPr>
          <w:p w:rsidR="002E5036" w:rsidRDefault="00EA65AF">
            <w:proofErr w:type="spellStart"/>
            <w:r>
              <w:t>Via</w:t>
            </w:r>
            <w:proofErr w:type="spellEnd"/>
            <w:r>
              <w:t xml:space="preserve"> Oral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INDICACIONES</w:t>
            </w:r>
          </w:p>
        </w:tc>
        <w:tc>
          <w:tcPr>
            <w:tcW w:w="6015" w:type="dxa"/>
          </w:tcPr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b/>
              </w:rPr>
              <w:t>*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Tratamiento de adultos y niños con infección por el VIH, en combinación con otros antirretrovirales. 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lastRenderedPageBreak/>
              <w:t>Tratamiento de adultos y niños con infección por el virus de hepatitis B crónica.</w:t>
            </w:r>
          </w:p>
          <w:p w:rsidR="002E5036" w:rsidRDefault="00EA65AF">
            <w:pPr>
              <w:shd w:val="clear" w:color="auto" w:fill="FFFFFF"/>
              <w:spacing w:before="40" w:after="160" w:line="384" w:lineRule="auto"/>
              <w:rPr>
                <w:rFonts w:ascii="Arial" w:eastAsia="Arial" w:hAnsi="Arial" w:cs="Arial"/>
                <w:i/>
                <w:color w:val="2222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de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 hepatitis B crónica en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ads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con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enf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hepática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 compensada con evi</w:t>
            </w:r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dencia de replicación viral, elevación persistente de ALT y evidencia histológica de inflamación hepática activa y/o fibrosis (sólo comenzar el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. cuando no está disponible o no sea apropiado el uso de un agente antiviral alternativo con una barrera gené</w:t>
            </w:r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tica más alta a resistencia);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enf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hepática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 descompensada en combinación con un 2º agente sin resistencia cruzada a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lamivudina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Tto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antirretroviral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 combinado de VIH en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ads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>y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 niños.</w:t>
            </w:r>
          </w:p>
          <w:p w:rsidR="002E5036" w:rsidRDefault="002E5036">
            <w:pPr>
              <w:shd w:val="clear" w:color="auto" w:fill="FFFFFF"/>
              <w:spacing w:before="40" w:after="160" w:line="384" w:lineRule="auto"/>
              <w:rPr>
                <w:rFonts w:ascii="Arial" w:eastAsia="Arial" w:hAnsi="Arial" w:cs="Arial"/>
                <w:b/>
                <w:i/>
                <w:color w:val="222222"/>
                <w:highlight w:val="white"/>
              </w:rPr>
            </w:pPr>
          </w:p>
        </w:tc>
      </w:tr>
      <w:tr w:rsidR="002E5036">
        <w:trPr>
          <w:trHeight w:val="240"/>
        </w:trPr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lastRenderedPageBreak/>
              <w:t>CONTRAINDICACIONES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color w:val="222222"/>
                <w:highlight w:val="white"/>
              </w:rPr>
              <w:t>Hipersensibilidad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ADVERTENCIAS</w:t>
            </w:r>
          </w:p>
        </w:tc>
        <w:tc>
          <w:tcPr>
            <w:tcW w:w="6015" w:type="dxa"/>
          </w:tcPr>
          <w:p w:rsidR="002E5036" w:rsidRDefault="00EA65AF">
            <w:pPr>
              <w:pStyle w:val="Ttulo2"/>
              <w:keepNext w:val="0"/>
              <w:keepLines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  <w:between w:val="none" w:sz="0" w:space="3" w:color="auto"/>
              </w:pBdr>
              <w:shd w:val="clear" w:color="auto" w:fill="FFFFFF"/>
              <w:spacing w:after="340"/>
              <w:outlineLvl w:val="1"/>
            </w:pPr>
            <w:bookmarkStart w:id="8" w:name="_ypb3wyglh71d" w:colFirst="0" w:colLast="0"/>
            <w:bookmarkEnd w:id="8"/>
            <w:r>
              <w:rPr>
                <w:rFonts w:ascii="Nunito" w:eastAsia="Nunito" w:hAnsi="Nunito" w:cs="Nunito"/>
                <w:sz w:val="22"/>
                <w:szCs w:val="22"/>
              </w:rPr>
              <w:t>Insuficiencia hepática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</w:rPr>
              <w:br/>
              <w:t>Precaución. Aumento en la frecuencia de anormalidades de función hepática.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</w:rPr>
              <w:br/>
            </w:r>
            <w:r>
              <w:rPr>
                <w:rFonts w:ascii="Nunito" w:eastAsia="Nunito" w:hAnsi="Nunito" w:cs="Nunito"/>
                <w:sz w:val="22"/>
                <w:szCs w:val="22"/>
              </w:rPr>
              <w:t>Insuficiencia renal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</w:rPr>
              <w:br/>
              <w:t xml:space="preserve">Precaución con I.R. moderada-grave. Ajustar dosis según </w:t>
            </w:r>
            <w:proofErr w:type="spellStart"/>
            <w:r>
              <w:rPr>
                <w:rFonts w:ascii="Nunito" w:eastAsia="Nunito" w:hAnsi="Nunito" w:cs="Nunito"/>
                <w:b w:val="0"/>
                <w:sz w:val="22"/>
                <w:szCs w:val="22"/>
              </w:rPr>
              <w:t>Clcr</w:t>
            </w:r>
            <w:proofErr w:type="spellEnd"/>
            <w:r>
              <w:rPr>
                <w:rFonts w:ascii="Nunito" w:eastAsia="Nunito" w:hAnsi="Nunito" w:cs="Nunito"/>
                <w:b w:val="0"/>
                <w:sz w:val="22"/>
                <w:szCs w:val="22"/>
              </w:rPr>
              <w:t>.</w:t>
            </w: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t>LACTÀNCIA y EMBARAZO</w:t>
            </w:r>
          </w:p>
        </w:tc>
        <w:tc>
          <w:tcPr>
            <w:tcW w:w="6015" w:type="dxa"/>
          </w:tcPr>
          <w:p w:rsidR="002E5036" w:rsidRDefault="00EA65AF">
            <w:pPr>
              <w:pStyle w:val="Ttulo2"/>
              <w:keepNext w:val="0"/>
              <w:keepLines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  <w:between w:val="none" w:sz="0" w:space="3" w:color="auto"/>
              </w:pBdr>
              <w:shd w:val="clear" w:color="auto" w:fill="FFFFFF"/>
              <w:spacing w:after="340"/>
              <w:outlineLvl w:val="1"/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</w:pPr>
            <w:bookmarkStart w:id="9" w:name="_t65e43dc22t" w:colFirst="0" w:colLast="0"/>
            <w:bookmarkEnd w:id="9"/>
            <w:r>
              <w:rPr>
                <w:rFonts w:ascii="Nunito" w:eastAsia="Nunito" w:hAnsi="Nunito" w:cs="Nunito"/>
                <w:sz w:val="22"/>
                <w:szCs w:val="22"/>
                <w:highlight w:val="white"/>
              </w:rPr>
              <w:t>Embarazo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br/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 xml:space="preserve">Datos de mujeres embarazadas indican que no hay toxicidad </w:t>
            </w:r>
            <w:proofErr w:type="spellStart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>malformativa</w:t>
            </w:r>
            <w:proofErr w:type="spellEnd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>. Si es clínicamente necesario puede usarse.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br/>
            </w:r>
            <w:r>
              <w:rPr>
                <w:rFonts w:ascii="Nunito" w:eastAsia="Nunito" w:hAnsi="Nunito" w:cs="Nunito"/>
                <w:sz w:val="22"/>
                <w:szCs w:val="22"/>
                <w:highlight w:val="white"/>
              </w:rPr>
              <w:t>Lactancia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br/>
              <w:t xml:space="preserve">Después de administrarse por vía oral, </w:t>
            </w:r>
            <w:proofErr w:type="spellStart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>lamivudina</w:t>
            </w:r>
            <w:proofErr w:type="spellEnd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 xml:space="preserve"> se excreta en la leche materna en concentraciones similares a las halladas en sue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 xml:space="preserve">ro. Basado en más de 200 parejas madre/hijo tratadas frente al VIH, se puede determinar que las concentraciones séricas de </w:t>
            </w:r>
            <w:proofErr w:type="spellStart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>lamivudina</w:t>
            </w:r>
            <w:proofErr w:type="spellEnd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 xml:space="preserve"> en lactantes de madres tratadas frente al VIH son muy bajas (&lt; 4% de las concentraciones séricas maternas) y éstas disminu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 xml:space="preserve">yen progresivamente a niveles indetectables cuando los lactantes alimentados con leche materna alcanzan las 24 semanas de edad. No hay datos disponibles sobre la seguridad de </w:t>
            </w:r>
            <w:proofErr w:type="spellStart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>lamivudina</w:t>
            </w:r>
            <w:proofErr w:type="spellEnd"/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t xml:space="preserve"> cuando se administra a bebés </w:t>
            </w:r>
            <w:r>
              <w:rPr>
                <w:rFonts w:ascii="Nunito" w:eastAsia="Nunito" w:hAnsi="Nunito" w:cs="Nunito"/>
                <w:b w:val="0"/>
                <w:sz w:val="22"/>
                <w:szCs w:val="22"/>
                <w:highlight w:val="white"/>
              </w:rPr>
              <w:lastRenderedPageBreak/>
              <w:t xml:space="preserve">menores de tres meses de edad. </w:t>
            </w:r>
          </w:p>
          <w:p w:rsidR="002E5036" w:rsidRDefault="00EA65AF">
            <w:pPr>
              <w:shd w:val="clear" w:color="auto" w:fill="FFFFFF"/>
              <w:spacing w:after="160" w:line="276" w:lineRule="auto"/>
              <w:rPr>
                <w:rFonts w:ascii="Nunito" w:eastAsia="Nunito" w:hAnsi="Nunito" w:cs="Nunito"/>
                <w:highlight w:val="white"/>
              </w:rPr>
            </w:pPr>
            <w:r>
              <w:rPr>
                <w:rFonts w:ascii="Nunito" w:eastAsia="Nunito" w:hAnsi="Nunito" w:cs="Nunito"/>
                <w:highlight w:val="white"/>
              </w:rPr>
              <w:t>Se recomi</w:t>
            </w:r>
            <w:r>
              <w:rPr>
                <w:rFonts w:ascii="Nunito" w:eastAsia="Nunito" w:hAnsi="Nunito" w:cs="Nunito"/>
                <w:highlight w:val="white"/>
              </w:rPr>
              <w:t>enda que las mujeres infectadas por el VIH no den el pecho a sus hijos bajo ninguna circunstancia, con el fin de evitar la transmisión del VIH.</w:t>
            </w:r>
          </w:p>
          <w:p w:rsidR="002E5036" w:rsidRDefault="002E5036">
            <w:pPr>
              <w:shd w:val="clear" w:color="auto" w:fill="FFFFFF"/>
              <w:spacing w:before="40" w:after="160" w:line="384" w:lineRule="auto"/>
              <w:rPr>
                <w:rFonts w:ascii="Nunito" w:eastAsia="Nunito" w:hAnsi="Nunito" w:cs="Nunito"/>
                <w:color w:val="333333"/>
                <w:highlight w:val="white"/>
              </w:rPr>
            </w:pPr>
          </w:p>
          <w:p w:rsidR="002E5036" w:rsidRDefault="002E5036">
            <w:pPr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</w:tc>
      </w:tr>
      <w:tr w:rsidR="002E5036">
        <w:tc>
          <w:tcPr>
            <w:tcW w:w="2325" w:type="dxa"/>
          </w:tcPr>
          <w:p w:rsidR="002E5036" w:rsidRDefault="00EA65AF">
            <w:pPr>
              <w:rPr>
                <w:b/>
              </w:rPr>
            </w:pPr>
            <w:r>
              <w:rPr>
                <w:b/>
              </w:rPr>
              <w:lastRenderedPageBreak/>
              <w:t>INTERACCIONES</w:t>
            </w:r>
          </w:p>
        </w:tc>
        <w:tc>
          <w:tcPr>
            <w:tcW w:w="6015" w:type="dxa"/>
          </w:tcPr>
          <w:p w:rsidR="002E5036" w:rsidRDefault="00EA65AF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Posible interacción con: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trimetoprima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>, vigilar clínica.</w:t>
            </w:r>
          </w:p>
          <w:p w:rsidR="002E5036" w:rsidRDefault="00EA65AF">
            <w:pPr>
              <w:rPr>
                <w:rFonts w:ascii="Nunito" w:eastAsia="Nunito" w:hAnsi="Nunito" w:cs="Nunito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Evitar concomitancia con: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cotrimoxazol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a dosis elevadas.</w:t>
            </w:r>
          </w:p>
        </w:tc>
      </w:tr>
    </w:tbl>
    <w:p w:rsidR="002E5036" w:rsidRDefault="002E5036">
      <w:pPr>
        <w:rPr>
          <w:rFonts w:ascii="Impact" w:eastAsia="Impact" w:hAnsi="Impact" w:cs="Impact"/>
        </w:rPr>
      </w:pPr>
      <w:bookmarkStart w:id="10" w:name="_gjdgxs" w:colFirst="0" w:colLast="0"/>
      <w:bookmarkEnd w:id="10"/>
    </w:p>
    <w:sectPr w:rsidR="002E503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003B"/>
    <w:multiLevelType w:val="multilevel"/>
    <w:tmpl w:val="EA36DF9C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5036"/>
    <w:rsid w:val="002E5036"/>
    <w:rsid w:val="00E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professors</dc:creator>
  <cp:lastModifiedBy>professors</cp:lastModifiedBy>
  <cp:revision>2</cp:revision>
  <dcterms:created xsi:type="dcterms:W3CDTF">2019-05-13T13:49:00Z</dcterms:created>
  <dcterms:modified xsi:type="dcterms:W3CDTF">2019-05-13T13:49:00Z</dcterms:modified>
</cp:coreProperties>
</file>