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38" w:rsidRDefault="00E847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C343D"/>
          <w:sz w:val="24"/>
          <w:szCs w:val="24"/>
        </w:rPr>
      </w:pPr>
    </w:p>
    <w:tbl>
      <w:tblPr>
        <w:tblStyle w:val="a"/>
        <w:tblW w:w="10110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7740"/>
      </w:tblGrid>
      <w:tr w:rsidR="00E84738">
        <w:trPr>
          <w:trHeight w:val="240"/>
        </w:trPr>
        <w:tc>
          <w:tcPr>
            <w:tcW w:w="2370" w:type="dxa"/>
            <w:shd w:val="clear" w:color="auto" w:fill="FEC6DC"/>
          </w:tcPr>
          <w:p w:rsidR="00E84738" w:rsidRDefault="00E8473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F1B2FE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IBUPROFENO</w:t>
            </w:r>
          </w:p>
        </w:tc>
      </w:tr>
      <w:tr w:rsidR="00E84738">
        <w:trPr>
          <w:trHeight w:val="720"/>
        </w:trPr>
        <w:tc>
          <w:tcPr>
            <w:tcW w:w="237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CODIGO  NACIONAL</w:t>
            </w:r>
          </w:p>
        </w:tc>
        <w:tc>
          <w:tcPr>
            <w:tcW w:w="774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661426</w:t>
            </w:r>
          </w:p>
        </w:tc>
      </w:tr>
      <w:tr w:rsidR="00E84738">
        <w:trPr>
          <w:trHeight w:val="440"/>
        </w:trPr>
        <w:tc>
          <w:tcPr>
            <w:tcW w:w="237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CODIGO ATC</w:t>
            </w:r>
          </w:p>
        </w:tc>
        <w:tc>
          <w:tcPr>
            <w:tcW w:w="774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M01AE01</w:t>
            </w:r>
          </w:p>
        </w:tc>
      </w:tr>
      <w:tr w:rsidR="00E84738">
        <w:trPr>
          <w:trHeight w:val="580"/>
        </w:trPr>
        <w:tc>
          <w:tcPr>
            <w:tcW w:w="237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 xml:space="preserve">PRINCIPIO ACTIVO </w:t>
            </w:r>
          </w:p>
        </w:tc>
        <w:tc>
          <w:tcPr>
            <w:tcW w:w="774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IBUPROFEN</w:t>
            </w:r>
          </w:p>
        </w:tc>
      </w:tr>
      <w:tr w:rsidR="00E84738">
        <w:trPr>
          <w:trHeight w:val="760"/>
        </w:trPr>
        <w:tc>
          <w:tcPr>
            <w:tcW w:w="237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PRESENTACIÓN</w:t>
            </w:r>
          </w:p>
        </w:tc>
        <w:tc>
          <w:tcPr>
            <w:tcW w:w="7740" w:type="dxa"/>
          </w:tcPr>
          <w:p w:rsidR="00E84738" w:rsidRDefault="00AD56BB">
            <w:pPr>
              <w:shd w:val="clear" w:color="auto" w:fill="FFFFFF"/>
              <w:spacing w:before="200"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600 mg comprimidos recubiertos con película EFG</w:t>
            </w:r>
          </w:p>
          <w:p w:rsidR="00E84738" w:rsidRDefault="00E8473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</w:p>
        </w:tc>
      </w:tr>
      <w:tr w:rsidR="00E84738">
        <w:trPr>
          <w:trHeight w:val="740"/>
        </w:trPr>
        <w:tc>
          <w:tcPr>
            <w:tcW w:w="237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INDICACIONES</w:t>
            </w:r>
          </w:p>
        </w:tc>
        <w:tc>
          <w:tcPr>
            <w:tcW w:w="774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>Tratamiento sintomático de la fiebre.</w:t>
            </w:r>
          </w:p>
          <w:p w:rsidR="00E84738" w:rsidRDefault="00AD56BB">
            <w:pPr>
              <w:numPr>
                <w:ilvl w:val="0"/>
                <w:numId w:val="3"/>
              </w:numPr>
              <w:spacing w:after="0" w:line="240" w:lineRule="auto"/>
              <w:ind w:left="1040"/>
              <w:jc w:val="both"/>
              <w:rPr>
                <w:rFonts w:ascii="Times New Roman" w:eastAsia="Times New Roman" w:hAnsi="Times New Roman" w:cs="Times New Roman"/>
                <w:b/>
                <w:color w:val="0C343D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>Tratamiento del dolor de intensidad moderada incluida la migraña.</w:t>
            </w:r>
          </w:p>
          <w:p w:rsidR="00E84738" w:rsidRDefault="00AD56BB">
            <w:pPr>
              <w:numPr>
                <w:ilvl w:val="0"/>
                <w:numId w:val="3"/>
              </w:numPr>
              <w:spacing w:after="0" w:line="240" w:lineRule="auto"/>
              <w:ind w:left="1040"/>
              <w:jc w:val="both"/>
              <w:rPr>
                <w:rFonts w:ascii="Times New Roman" w:eastAsia="Times New Roman" w:hAnsi="Times New Roman" w:cs="Times New Roman"/>
                <w:b/>
                <w:color w:val="0C343D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>Tratamiento sintomático de: artritis (incluyendo la artritis reumatoide juvenil), artrosis, espondilitis anquilosante y de la inflamación no reumática.</w:t>
            </w:r>
          </w:p>
          <w:p w:rsidR="00E84738" w:rsidRDefault="00AD56BB">
            <w:pPr>
              <w:numPr>
                <w:ilvl w:val="0"/>
                <w:numId w:val="3"/>
              </w:numPr>
              <w:spacing w:after="0" w:line="240" w:lineRule="auto"/>
              <w:ind w:left="1040"/>
              <w:jc w:val="both"/>
              <w:rPr>
                <w:rFonts w:ascii="Times New Roman" w:eastAsia="Times New Roman" w:hAnsi="Times New Roman" w:cs="Times New Roman"/>
                <w:b/>
                <w:color w:val="0C343D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>Alivio de la sintomatología en la dism</w:t>
            </w:r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>enorrea primaria</w:t>
            </w:r>
          </w:p>
          <w:p w:rsidR="00E84738" w:rsidRDefault="00E8473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</w:p>
        </w:tc>
      </w:tr>
      <w:tr w:rsidR="00E84738">
        <w:trPr>
          <w:trHeight w:val="560"/>
        </w:trPr>
        <w:tc>
          <w:tcPr>
            <w:tcW w:w="237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CONTRAINDICACIONES</w:t>
            </w:r>
          </w:p>
        </w:tc>
        <w:tc>
          <w:tcPr>
            <w:tcW w:w="7740" w:type="dxa"/>
            <w:shd w:val="clear" w:color="auto" w:fill="E0E0E0"/>
          </w:tcPr>
          <w:p w:rsidR="00E84738" w:rsidRDefault="00AD56BB">
            <w:pPr>
              <w:numPr>
                <w:ilvl w:val="0"/>
                <w:numId w:val="1"/>
              </w:numPr>
              <w:spacing w:after="0" w:line="289" w:lineRule="auto"/>
              <w:ind w:left="960"/>
              <w:rPr>
                <w:rFonts w:ascii="Times New Roman" w:eastAsia="Times New Roman" w:hAnsi="Times New Roman" w:cs="Times New Roman"/>
                <w:b/>
                <w:color w:val="0C343D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 xml:space="preserve">Hipersensibilidad al principio activo, a otros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>AINEs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 xml:space="preserve">, o a alguno de los excipientes incluidos en la sección </w:t>
            </w:r>
          </w:p>
          <w:p w:rsidR="00E84738" w:rsidRDefault="00AD56BB">
            <w:pPr>
              <w:numPr>
                <w:ilvl w:val="0"/>
                <w:numId w:val="1"/>
              </w:numPr>
              <w:spacing w:after="0" w:line="289" w:lineRule="auto"/>
              <w:ind w:left="960"/>
              <w:rPr>
                <w:rFonts w:ascii="Times New Roman" w:eastAsia="Times New Roman" w:hAnsi="Times New Roman" w:cs="Times New Roman"/>
                <w:b/>
                <w:color w:val="0C343D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 xml:space="preserve">Pacientes que hayan experimentado crisis de asma, rinitis aguda, urticaria, edema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>angioneurótico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 xml:space="preserve"> u otras reacciones de tipo alérgico tras haber utilizado sustancias de acción similar (p. ej. ácido acetilsalicílico u otros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>AINEs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>).</w:t>
            </w:r>
          </w:p>
          <w:p w:rsidR="00E84738" w:rsidRDefault="00AD56BB">
            <w:pPr>
              <w:numPr>
                <w:ilvl w:val="0"/>
                <w:numId w:val="1"/>
              </w:numPr>
              <w:spacing w:after="0" w:line="289" w:lineRule="auto"/>
              <w:ind w:left="960"/>
              <w:rPr>
                <w:rFonts w:ascii="Times New Roman" w:eastAsia="Times New Roman" w:hAnsi="Times New Roman" w:cs="Times New Roman"/>
                <w:b/>
                <w:color w:val="0C343D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 xml:space="preserve">Insuficiencia renal grave </w:t>
            </w:r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>(filtración glomerular inferior a 30 ml/min).</w:t>
            </w:r>
          </w:p>
          <w:p w:rsidR="00E84738" w:rsidRDefault="00AD56BB">
            <w:pPr>
              <w:numPr>
                <w:ilvl w:val="0"/>
                <w:numId w:val="1"/>
              </w:numPr>
              <w:spacing w:after="0" w:line="289" w:lineRule="auto"/>
              <w:ind w:left="960"/>
              <w:rPr>
                <w:rFonts w:ascii="Times New Roman" w:eastAsia="Times New Roman" w:hAnsi="Times New Roman" w:cs="Times New Roman"/>
                <w:b/>
                <w:color w:val="0C343D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>Insuficiencia hepática grave.</w:t>
            </w:r>
          </w:p>
          <w:p w:rsidR="00E84738" w:rsidRDefault="00E8473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</w:p>
        </w:tc>
      </w:tr>
      <w:tr w:rsidR="00E84738">
        <w:trPr>
          <w:trHeight w:val="300"/>
        </w:trPr>
        <w:tc>
          <w:tcPr>
            <w:tcW w:w="237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ADVERTENCIAS</w:t>
            </w:r>
          </w:p>
        </w:tc>
        <w:tc>
          <w:tcPr>
            <w:tcW w:w="7740" w:type="dxa"/>
          </w:tcPr>
          <w:p w:rsidR="00E84738" w:rsidRDefault="00AD56BB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C343D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>Como cualquier otro AINE, el ibuprofeno puede enmascarar signos de infección.</w:t>
            </w:r>
          </w:p>
          <w:p w:rsidR="00E84738" w:rsidRDefault="00AD56BB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C343D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>Con el uso prolongado de analgésicos pueden aparecer dolores de cabeza que no deben ser tratados incrementando la dosis del producto.</w:t>
            </w:r>
          </w:p>
          <w:p w:rsidR="00E84738" w:rsidRDefault="00E8473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</w:p>
        </w:tc>
      </w:tr>
      <w:tr w:rsidR="00E84738">
        <w:trPr>
          <w:trHeight w:val="240"/>
        </w:trPr>
        <w:tc>
          <w:tcPr>
            <w:tcW w:w="237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LACTANCIA Y EMBARAZO</w:t>
            </w:r>
          </w:p>
        </w:tc>
        <w:tc>
          <w:tcPr>
            <w:tcW w:w="774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 xml:space="preserve">No se debe tomar ibuprofeno durante el embarazo, especialmente durante el tercer trimestre </w:t>
            </w:r>
          </w:p>
        </w:tc>
      </w:tr>
      <w:tr w:rsidR="00E84738">
        <w:trPr>
          <w:trHeight w:val="240"/>
        </w:trPr>
        <w:tc>
          <w:tcPr>
            <w:tcW w:w="2370" w:type="dxa"/>
            <w:tcBorders>
              <w:bottom w:val="single" w:sz="4" w:space="0" w:color="000000"/>
            </w:tcBorders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INTERA</w:t>
            </w: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CCIONES</w:t>
            </w:r>
          </w:p>
        </w:tc>
        <w:tc>
          <w:tcPr>
            <w:tcW w:w="7740" w:type="dxa"/>
          </w:tcPr>
          <w:p w:rsidR="00E84738" w:rsidRDefault="00AD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C343D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C343D"/>
              </w:rPr>
              <w:t>Anticoagulantes</w:t>
            </w:r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 xml:space="preserve">: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>AINEs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 xml:space="preserve"> pueden aumentar los efectos de los anticoagulantes tipo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>dicumarínico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 xml:space="preserve"> como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>warfarina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>.</w:t>
            </w:r>
          </w:p>
          <w:p w:rsidR="00E84738" w:rsidRDefault="00AD56BB">
            <w:pPr>
              <w:shd w:val="clear" w:color="auto" w:fill="FFFFFF"/>
              <w:spacing w:after="0" w:line="240" w:lineRule="auto"/>
              <w:ind w:left="560"/>
              <w:jc w:val="both"/>
              <w:rPr>
                <w:rFonts w:ascii="Times New Roman" w:eastAsia="Times New Roman" w:hAnsi="Times New Roman" w:cs="Times New Roman"/>
                <w:b/>
                <w:color w:val="0C343D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 xml:space="preserve"> </w:t>
            </w:r>
          </w:p>
          <w:p w:rsidR="00E84738" w:rsidRDefault="00AD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C343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C343D"/>
              </w:rPr>
              <w:t>Antiagregantes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C343D"/>
              </w:rPr>
              <w:t xml:space="preserve"> plaquetarios</w:t>
            </w:r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 xml:space="preserve">: aumentan el riesgo de hemorragia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>gastrointestina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 xml:space="preserve">.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>AINEs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 xml:space="preserve"> no deben combinarse con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>ticlopidina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 xml:space="preserve"> debido al riesgo de un efecto aditivo en la inhibición de la función plaquetaria.</w:t>
            </w:r>
          </w:p>
          <w:p w:rsidR="00E84738" w:rsidRDefault="00E8473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</w:p>
        </w:tc>
      </w:tr>
    </w:tbl>
    <w:p w:rsidR="00E84738" w:rsidRDefault="00E84738">
      <w:pPr>
        <w:spacing w:line="240" w:lineRule="auto"/>
        <w:rPr>
          <w:rFonts w:ascii="Times New Roman" w:eastAsia="Times New Roman" w:hAnsi="Times New Roman" w:cs="Times New Roman"/>
          <w:b/>
          <w:color w:val="0C343D"/>
          <w:sz w:val="24"/>
          <w:szCs w:val="24"/>
        </w:rPr>
      </w:pPr>
    </w:p>
    <w:tbl>
      <w:tblPr>
        <w:tblStyle w:val="a0"/>
        <w:tblW w:w="10110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6810"/>
      </w:tblGrid>
      <w:tr w:rsidR="00E84738">
        <w:trPr>
          <w:trHeight w:val="240"/>
        </w:trPr>
        <w:tc>
          <w:tcPr>
            <w:tcW w:w="3300" w:type="dxa"/>
            <w:shd w:val="clear" w:color="auto" w:fill="FEC6DC"/>
          </w:tcPr>
          <w:p w:rsidR="00E84738" w:rsidRDefault="00E8473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F1B2FE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PREDNISONA CINFA 10 MG</w:t>
            </w:r>
          </w:p>
        </w:tc>
      </w:tr>
      <w:tr w:rsidR="00E84738">
        <w:trPr>
          <w:trHeight w:val="720"/>
        </w:trPr>
        <w:tc>
          <w:tcPr>
            <w:tcW w:w="330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CODIGO  NACIONAL</w:t>
            </w:r>
          </w:p>
        </w:tc>
        <w:tc>
          <w:tcPr>
            <w:tcW w:w="681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688717</w:t>
            </w:r>
          </w:p>
        </w:tc>
      </w:tr>
      <w:tr w:rsidR="00E84738">
        <w:trPr>
          <w:trHeight w:val="440"/>
        </w:trPr>
        <w:tc>
          <w:tcPr>
            <w:tcW w:w="330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CODIGO ATC</w:t>
            </w:r>
          </w:p>
        </w:tc>
        <w:tc>
          <w:tcPr>
            <w:tcW w:w="681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A07EA03</w:t>
            </w:r>
          </w:p>
        </w:tc>
      </w:tr>
      <w:tr w:rsidR="00E84738">
        <w:trPr>
          <w:trHeight w:val="580"/>
        </w:trPr>
        <w:tc>
          <w:tcPr>
            <w:tcW w:w="330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 xml:space="preserve">PRINCIPIO ACTIVO </w:t>
            </w:r>
          </w:p>
        </w:tc>
        <w:tc>
          <w:tcPr>
            <w:tcW w:w="681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PREDNISONA</w:t>
            </w:r>
          </w:p>
        </w:tc>
      </w:tr>
      <w:tr w:rsidR="00E84738">
        <w:trPr>
          <w:trHeight w:val="760"/>
        </w:trPr>
        <w:tc>
          <w:tcPr>
            <w:tcW w:w="330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PRESENTACIÓ</w:t>
            </w:r>
          </w:p>
        </w:tc>
        <w:tc>
          <w:tcPr>
            <w:tcW w:w="681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30 COMPRIMIDOS</w:t>
            </w:r>
          </w:p>
        </w:tc>
      </w:tr>
      <w:tr w:rsidR="00E84738">
        <w:trPr>
          <w:trHeight w:val="740"/>
        </w:trPr>
        <w:tc>
          <w:tcPr>
            <w:tcW w:w="330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INDICACIONES</w:t>
            </w:r>
          </w:p>
        </w:tc>
        <w:tc>
          <w:tcPr>
            <w:tcW w:w="681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 xml:space="preserve">Está indicada en el tratamiento de diversas enfermedades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reumàticas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 xml:space="preserve"> del colágeno, endocrinas, dermatológicas, alérgicas, oftalmológicas, respiratorias, hematológicas y otras que respondan a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corticoterapia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.</w:t>
            </w:r>
          </w:p>
        </w:tc>
      </w:tr>
      <w:tr w:rsidR="00E84738">
        <w:trPr>
          <w:trHeight w:val="560"/>
        </w:trPr>
        <w:tc>
          <w:tcPr>
            <w:tcW w:w="330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CONTRAINDICACIONES</w:t>
            </w:r>
          </w:p>
        </w:tc>
        <w:tc>
          <w:tcPr>
            <w:tcW w:w="681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 xml:space="preserve">Está contraindicada cuando </w:t>
            </w: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existe hipersensibilidad al principio activo tuberculosis activa, diabetes mellitas, infección activa, úlcera péptica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..</w:t>
            </w:r>
            <w:proofErr w:type="gramEnd"/>
          </w:p>
        </w:tc>
      </w:tr>
      <w:tr w:rsidR="00E84738">
        <w:trPr>
          <w:trHeight w:val="300"/>
        </w:trPr>
        <w:tc>
          <w:tcPr>
            <w:tcW w:w="330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ADVERTENCIAS</w:t>
            </w:r>
          </w:p>
        </w:tc>
        <w:tc>
          <w:tcPr>
            <w:tcW w:w="681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El uso prolongado o indiscriminado, así como su brusca suspensión pueden afectar a la salud del paciente de forma severa.</w:t>
            </w:r>
          </w:p>
        </w:tc>
      </w:tr>
      <w:tr w:rsidR="00E84738">
        <w:trPr>
          <w:trHeight w:val="240"/>
        </w:trPr>
        <w:tc>
          <w:tcPr>
            <w:tcW w:w="330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LACTANCIA Y EMBARAZO</w:t>
            </w:r>
          </w:p>
        </w:tc>
        <w:tc>
          <w:tcPr>
            <w:tcW w:w="681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 xml:space="preserve">No se recomienda tomar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prednisona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 xml:space="preserve"> durante el embarazo y lactancia. Solo si el médico lo prescribe.</w:t>
            </w:r>
          </w:p>
        </w:tc>
      </w:tr>
      <w:tr w:rsidR="00E84738">
        <w:trPr>
          <w:trHeight w:val="240"/>
        </w:trPr>
        <w:tc>
          <w:tcPr>
            <w:tcW w:w="3300" w:type="dxa"/>
            <w:tcBorders>
              <w:bottom w:val="single" w:sz="4" w:space="0" w:color="000000"/>
            </w:tcBorders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INTERACCIONES</w:t>
            </w:r>
          </w:p>
        </w:tc>
        <w:tc>
          <w:tcPr>
            <w:tcW w:w="6810" w:type="dxa"/>
          </w:tcPr>
          <w:p w:rsidR="00E84738" w:rsidRDefault="00AD5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 xml:space="preserve"> Los contraceptivos conteniendo estrógenos pueden aumentar el efecto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prednisona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.</w:t>
            </w:r>
          </w:p>
          <w:p w:rsidR="00E84738" w:rsidRDefault="00AD5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- Los antiácidos (aluminio, magne</w:t>
            </w: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 xml:space="preserve">sio) pueden disminuir la absorción, y por tanto la efectividad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prednisona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.</w:t>
            </w:r>
          </w:p>
          <w:p w:rsidR="00E84738" w:rsidRDefault="00E8473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</w:p>
        </w:tc>
      </w:tr>
    </w:tbl>
    <w:p w:rsidR="00E84738" w:rsidRDefault="00E84738">
      <w:pPr>
        <w:spacing w:line="240" w:lineRule="auto"/>
        <w:rPr>
          <w:rFonts w:ascii="Times New Roman" w:eastAsia="Times New Roman" w:hAnsi="Times New Roman" w:cs="Times New Roman"/>
          <w:b/>
          <w:color w:val="0C343D"/>
          <w:sz w:val="24"/>
          <w:szCs w:val="24"/>
        </w:rPr>
      </w:pPr>
    </w:p>
    <w:p w:rsidR="00E84738" w:rsidRDefault="00E84738">
      <w:pPr>
        <w:spacing w:line="240" w:lineRule="auto"/>
        <w:rPr>
          <w:rFonts w:ascii="Times New Roman" w:eastAsia="Times New Roman" w:hAnsi="Times New Roman" w:cs="Times New Roman"/>
          <w:b/>
          <w:color w:val="0C343D"/>
          <w:sz w:val="24"/>
          <w:szCs w:val="24"/>
        </w:rPr>
      </w:pPr>
    </w:p>
    <w:p w:rsidR="00E84738" w:rsidRDefault="00E84738">
      <w:pPr>
        <w:spacing w:line="240" w:lineRule="auto"/>
        <w:rPr>
          <w:rFonts w:ascii="Times New Roman" w:eastAsia="Times New Roman" w:hAnsi="Times New Roman" w:cs="Times New Roman"/>
          <w:b/>
          <w:color w:val="0C343D"/>
          <w:sz w:val="24"/>
          <w:szCs w:val="24"/>
        </w:rPr>
      </w:pPr>
    </w:p>
    <w:p w:rsidR="00E84738" w:rsidRDefault="00E84738">
      <w:pPr>
        <w:spacing w:line="240" w:lineRule="auto"/>
        <w:rPr>
          <w:rFonts w:ascii="Times New Roman" w:eastAsia="Times New Roman" w:hAnsi="Times New Roman" w:cs="Times New Roman"/>
          <w:b/>
          <w:color w:val="0C343D"/>
          <w:sz w:val="24"/>
          <w:szCs w:val="24"/>
        </w:rPr>
      </w:pPr>
    </w:p>
    <w:p w:rsidR="00E84738" w:rsidRDefault="00E84738">
      <w:pPr>
        <w:spacing w:line="240" w:lineRule="auto"/>
        <w:rPr>
          <w:rFonts w:ascii="Times New Roman" w:eastAsia="Times New Roman" w:hAnsi="Times New Roman" w:cs="Times New Roman"/>
          <w:b/>
          <w:color w:val="0C343D"/>
          <w:sz w:val="24"/>
          <w:szCs w:val="24"/>
        </w:rPr>
      </w:pPr>
    </w:p>
    <w:p w:rsidR="00AD56BB" w:rsidRDefault="00AD56BB">
      <w:pPr>
        <w:spacing w:line="240" w:lineRule="auto"/>
        <w:rPr>
          <w:rFonts w:ascii="Times New Roman" w:eastAsia="Times New Roman" w:hAnsi="Times New Roman" w:cs="Times New Roman"/>
          <w:b/>
          <w:color w:val="0C343D"/>
          <w:sz w:val="24"/>
          <w:szCs w:val="24"/>
        </w:rPr>
      </w:pPr>
    </w:p>
    <w:p w:rsidR="00AD56BB" w:rsidRDefault="00AD56BB">
      <w:pPr>
        <w:spacing w:line="240" w:lineRule="auto"/>
        <w:rPr>
          <w:rFonts w:ascii="Times New Roman" w:eastAsia="Times New Roman" w:hAnsi="Times New Roman" w:cs="Times New Roman"/>
          <w:b/>
          <w:color w:val="0C343D"/>
          <w:sz w:val="24"/>
          <w:szCs w:val="24"/>
        </w:rPr>
      </w:pPr>
      <w:bookmarkStart w:id="0" w:name="_GoBack"/>
      <w:bookmarkEnd w:id="0"/>
    </w:p>
    <w:p w:rsidR="00E84738" w:rsidRDefault="00E84738">
      <w:pPr>
        <w:spacing w:line="240" w:lineRule="auto"/>
        <w:rPr>
          <w:rFonts w:ascii="Times New Roman" w:eastAsia="Times New Roman" w:hAnsi="Times New Roman" w:cs="Times New Roman"/>
          <w:b/>
          <w:color w:val="0C343D"/>
          <w:sz w:val="24"/>
          <w:szCs w:val="24"/>
        </w:rPr>
      </w:pPr>
    </w:p>
    <w:p w:rsidR="00E84738" w:rsidRDefault="00E84738">
      <w:pPr>
        <w:spacing w:line="240" w:lineRule="auto"/>
        <w:rPr>
          <w:rFonts w:ascii="Times New Roman" w:eastAsia="Times New Roman" w:hAnsi="Times New Roman" w:cs="Times New Roman"/>
          <w:b/>
          <w:color w:val="0C343D"/>
          <w:sz w:val="24"/>
          <w:szCs w:val="24"/>
        </w:rPr>
      </w:pPr>
    </w:p>
    <w:p w:rsidR="00E84738" w:rsidRDefault="00E84738">
      <w:pPr>
        <w:spacing w:line="240" w:lineRule="auto"/>
        <w:rPr>
          <w:rFonts w:ascii="Times New Roman" w:eastAsia="Times New Roman" w:hAnsi="Times New Roman" w:cs="Times New Roman"/>
          <w:b/>
          <w:color w:val="0C343D"/>
          <w:sz w:val="24"/>
          <w:szCs w:val="24"/>
        </w:rPr>
      </w:pPr>
    </w:p>
    <w:p w:rsidR="00E84738" w:rsidRDefault="00E8473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C343D"/>
          <w:sz w:val="24"/>
          <w:szCs w:val="24"/>
        </w:rPr>
      </w:pPr>
    </w:p>
    <w:tbl>
      <w:tblPr>
        <w:tblStyle w:val="a1"/>
        <w:tblW w:w="10110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7710"/>
      </w:tblGrid>
      <w:tr w:rsidR="00E84738">
        <w:trPr>
          <w:trHeight w:val="240"/>
        </w:trPr>
        <w:tc>
          <w:tcPr>
            <w:tcW w:w="2400" w:type="dxa"/>
            <w:shd w:val="clear" w:color="auto" w:fill="FEC6DC"/>
          </w:tcPr>
          <w:p w:rsidR="00E84738" w:rsidRDefault="00E8473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</w:p>
        </w:tc>
        <w:tc>
          <w:tcPr>
            <w:tcW w:w="7710" w:type="dxa"/>
            <w:shd w:val="clear" w:color="auto" w:fill="F1B2FE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Nolotil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 xml:space="preserve"> 0,4 g/ml solución inyectable</w:t>
            </w:r>
          </w:p>
        </w:tc>
      </w:tr>
      <w:tr w:rsidR="00E84738">
        <w:trPr>
          <w:trHeight w:val="720"/>
        </w:trPr>
        <w:tc>
          <w:tcPr>
            <w:tcW w:w="240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CODIGO  NACIONAL</w:t>
            </w:r>
          </w:p>
        </w:tc>
        <w:tc>
          <w:tcPr>
            <w:tcW w:w="771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729061</w:t>
            </w:r>
          </w:p>
        </w:tc>
      </w:tr>
      <w:tr w:rsidR="00E84738">
        <w:trPr>
          <w:trHeight w:val="440"/>
        </w:trPr>
        <w:tc>
          <w:tcPr>
            <w:tcW w:w="240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CODIGO ATC</w:t>
            </w:r>
          </w:p>
        </w:tc>
        <w:tc>
          <w:tcPr>
            <w:tcW w:w="7710" w:type="dxa"/>
          </w:tcPr>
          <w:p w:rsidR="00E84738" w:rsidRDefault="00AD56BB">
            <w:pPr>
              <w:numPr>
                <w:ilvl w:val="0"/>
                <w:numId w:val="2"/>
              </w:numPr>
              <w:spacing w:after="160" w:line="240" w:lineRule="auto"/>
              <w:rPr>
                <w:color w:val="00000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N02BB02 - METAMIZOL SÓDICO</w:t>
            </w:r>
          </w:p>
          <w:p w:rsidR="00E84738" w:rsidRDefault="00E8473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</w:p>
        </w:tc>
      </w:tr>
      <w:tr w:rsidR="00E84738">
        <w:trPr>
          <w:trHeight w:val="580"/>
        </w:trPr>
        <w:tc>
          <w:tcPr>
            <w:tcW w:w="240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 xml:space="preserve">PRINCIPIO ACTIVO </w:t>
            </w:r>
          </w:p>
        </w:tc>
        <w:tc>
          <w:tcPr>
            <w:tcW w:w="771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Metamizol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 magnésico</w:t>
            </w:r>
          </w:p>
        </w:tc>
      </w:tr>
      <w:tr w:rsidR="00E84738">
        <w:trPr>
          <w:trHeight w:val="760"/>
        </w:trPr>
        <w:tc>
          <w:tcPr>
            <w:tcW w:w="240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PRESENTACIÓN</w:t>
            </w:r>
          </w:p>
        </w:tc>
        <w:tc>
          <w:tcPr>
            <w:tcW w:w="7710" w:type="dxa"/>
          </w:tcPr>
          <w:p w:rsidR="00E84738" w:rsidRDefault="00AD56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Nolotil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0,4 g/ml solución inyectable  100 Ampollas</w:t>
            </w:r>
          </w:p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</w:rPr>
              <w:t xml:space="preserve">                         </w:t>
            </w:r>
          </w:p>
          <w:p w:rsidR="00E84738" w:rsidRDefault="00E8473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</w:p>
        </w:tc>
      </w:tr>
      <w:tr w:rsidR="00E84738">
        <w:trPr>
          <w:trHeight w:val="740"/>
        </w:trPr>
        <w:tc>
          <w:tcPr>
            <w:tcW w:w="240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INDICACIONES</w:t>
            </w:r>
          </w:p>
        </w:tc>
        <w:tc>
          <w:tcPr>
            <w:tcW w:w="7710" w:type="dxa"/>
          </w:tcPr>
          <w:p w:rsidR="00E84738" w:rsidRDefault="00AD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Este medicamento se utiliza para el tratamiento del dolor agudo moderado o intenso post-operatorio o post-traumático, de tipo cólico o de origen tumoral. También se utiliza en los casos de fiebre alta que no responda a otras medidas u otros medicamentos pa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ra la fiebre.</w:t>
            </w:r>
          </w:p>
        </w:tc>
      </w:tr>
      <w:tr w:rsidR="00E84738">
        <w:trPr>
          <w:trHeight w:val="560"/>
        </w:trPr>
        <w:tc>
          <w:tcPr>
            <w:tcW w:w="240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CONTRAINDICACIONES</w:t>
            </w:r>
          </w:p>
        </w:tc>
        <w:tc>
          <w:tcPr>
            <w:tcW w:w="7710" w:type="dxa"/>
            <w:shd w:val="clear" w:color="auto" w:fill="E0E0E0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333333"/>
                <w:sz w:val="24"/>
                <w:szCs w:val="24"/>
                <w:highlight w:val="white"/>
              </w:rPr>
              <w:t>Pacientes que hayan experimentado con anterioridad reacciones de hipersensibilidad</w:t>
            </w:r>
          </w:p>
          <w:p w:rsidR="00E84738" w:rsidRDefault="00E847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84738">
        <w:trPr>
          <w:trHeight w:val="300"/>
        </w:trPr>
        <w:tc>
          <w:tcPr>
            <w:tcW w:w="240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ADVERTENCIAS</w:t>
            </w:r>
          </w:p>
        </w:tc>
        <w:tc>
          <w:tcPr>
            <w:tcW w:w="7710" w:type="dxa"/>
          </w:tcPr>
          <w:p w:rsidR="00E84738" w:rsidRDefault="00AD56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Tenga especial cuidado:</w:t>
            </w:r>
          </w:p>
          <w:p w:rsidR="00E84738" w:rsidRDefault="00AD56BB">
            <w:pPr>
              <w:numPr>
                <w:ilvl w:val="0"/>
                <w:numId w:val="4"/>
              </w:numPr>
              <w:spacing w:after="0" w:line="240" w:lineRule="auto"/>
              <w:ind w:left="128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Si experimenta malestar general, infección, fiebre persistente, dolor de garganta, inflamación en boca, nariz o garganta, lesiones en la mucosa de la boca o de los genitales, hematomas, sangrado o palidez, debe de suspender el tratamiento y consultar a su</w:t>
            </w: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médico inmediatamente. </w:t>
            </w:r>
          </w:p>
          <w:p w:rsidR="00E84738" w:rsidRDefault="00E8473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</w:p>
        </w:tc>
      </w:tr>
      <w:tr w:rsidR="00E84738">
        <w:trPr>
          <w:trHeight w:val="240"/>
        </w:trPr>
        <w:tc>
          <w:tcPr>
            <w:tcW w:w="240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LACTANCIA Y EMBARAZO</w:t>
            </w:r>
          </w:p>
        </w:tc>
        <w:tc>
          <w:tcPr>
            <w:tcW w:w="7710" w:type="dxa"/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t>Se recomienda no administrar el preparado durante el primer trimestre del embarazo.</w:t>
            </w:r>
          </w:p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</w:pPr>
            <w:bookmarkStart w:id="2" w:name="_rb87dsrai6az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t xml:space="preserve">Los productos derivados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t>metamizol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t xml:space="preserve"> en el organismo (metabolitos) pasan a la leche materna, por lo que se debe evitar la lactancia mientras se usa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t>metamizol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t xml:space="preserve"> y durante las 48 horas siguientes a su administración.</w:t>
            </w:r>
          </w:p>
        </w:tc>
      </w:tr>
      <w:tr w:rsidR="00E84738">
        <w:trPr>
          <w:trHeight w:val="240"/>
        </w:trPr>
        <w:tc>
          <w:tcPr>
            <w:tcW w:w="2400" w:type="dxa"/>
            <w:tcBorders>
              <w:bottom w:val="single" w:sz="4" w:space="0" w:color="000000"/>
            </w:tcBorders>
          </w:tcPr>
          <w:p w:rsidR="00E84738" w:rsidRDefault="00AD56B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  <w:t>INTERACCIONES</w:t>
            </w:r>
          </w:p>
        </w:tc>
        <w:tc>
          <w:tcPr>
            <w:tcW w:w="7710" w:type="dxa"/>
          </w:tcPr>
          <w:p w:rsidR="00E84738" w:rsidRDefault="00AD56BB">
            <w:pPr>
              <w:shd w:val="clear" w:color="auto" w:fill="FFFFFF"/>
              <w:spacing w:line="384" w:lineRule="auto"/>
              <w:rPr>
                <w:rFonts w:ascii="Trebuchet MS" w:eastAsia="Trebuchet MS" w:hAnsi="Trebuchet MS" w:cs="Trebuchet MS"/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24"/>
                <w:szCs w:val="24"/>
              </w:rPr>
              <w:t>Nolotil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333333"/>
                <w:sz w:val="24"/>
                <w:szCs w:val="24"/>
              </w:rPr>
              <w:t xml:space="preserve"> no se debe utilizar </w:t>
            </w:r>
            <w:r>
              <w:rPr>
                <w:rFonts w:ascii="Trebuchet MS" w:eastAsia="Trebuchet MS" w:hAnsi="Trebuchet MS" w:cs="Trebuchet MS"/>
                <w:b/>
                <w:color w:val="333333"/>
                <w:sz w:val="24"/>
                <w:szCs w:val="24"/>
              </w:rPr>
              <w:t>en:</w:t>
            </w:r>
          </w:p>
          <w:p w:rsidR="00E84738" w:rsidRDefault="00AD56BB">
            <w:pPr>
              <w:shd w:val="clear" w:color="auto" w:fill="FFFFFF"/>
              <w:spacing w:line="384" w:lineRule="auto"/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  <w:u w:val="single"/>
              </w:rPr>
              <w:t>Metotrexato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  <w:u w:val="single"/>
              </w:rPr>
              <w:t xml:space="preserve"> y otros antineoplásicos</w:t>
            </w:r>
          </w:p>
          <w:p w:rsidR="00E84738" w:rsidRDefault="00E84738">
            <w:pPr>
              <w:shd w:val="clear" w:color="auto" w:fill="FFFFFF"/>
              <w:spacing w:line="384" w:lineRule="auto"/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  <w:u w:val="single"/>
              </w:rPr>
            </w:pPr>
          </w:p>
          <w:p w:rsidR="00E84738" w:rsidRDefault="00E84738">
            <w:pPr>
              <w:spacing w:after="300" w:line="384" w:lineRule="auto"/>
              <w:rPr>
                <w:rFonts w:ascii="Times New Roman" w:eastAsia="Times New Roman" w:hAnsi="Times New Roman" w:cs="Times New Roman"/>
                <w:b/>
                <w:color w:val="0C343D"/>
                <w:sz w:val="24"/>
                <w:szCs w:val="24"/>
              </w:rPr>
            </w:pPr>
          </w:p>
        </w:tc>
      </w:tr>
    </w:tbl>
    <w:p w:rsidR="00E84738" w:rsidRDefault="00E84738">
      <w:pPr>
        <w:spacing w:line="240" w:lineRule="auto"/>
        <w:rPr>
          <w:rFonts w:ascii="Times New Roman" w:eastAsia="Times New Roman" w:hAnsi="Times New Roman" w:cs="Times New Roman"/>
          <w:b/>
          <w:color w:val="0C343D"/>
          <w:sz w:val="24"/>
          <w:szCs w:val="24"/>
        </w:rPr>
      </w:pPr>
    </w:p>
    <w:sectPr w:rsidR="00E84738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56BB">
      <w:pPr>
        <w:spacing w:after="0" w:line="240" w:lineRule="auto"/>
      </w:pPr>
      <w:r>
        <w:separator/>
      </w:r>
    </w:p>
  </w:endnote>
  <w:endnote w:type="continuationSeparator" w:id="0">
    <w:p w:rsidR="00000000" w:rsidRDefault="00AD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56BB">
      <w:pPr>
        <w:spacing w:after="0" w:line="240" w:lineRule="auto"/>
      </w:pPr>
      <w:r>
        <w:separator/>
      </w:r>
    </w:p>
  </w:footnote>
  <w:footnote w:type="continuationSeparator" w:id="0">
    <w:p w:rsidR="00000000" w:rsidRDefault="00AD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738" w:rsidRDefault="00E847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color w:val="00449E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871"/>
    <w:multiLevelType w:val="multilevel"/>
    <w:tmpl w:val="4978E7AA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8BC7508"/>
    <w:multiLevelType w:val="multilevel"/>
    <w:tmpl w:val="11182976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EE07DE3"/>
    <w:multiLevelType w:val="multilevel"/>
    <w:tmpl w:val="9CAAB9CE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7E7284F"/>
    <w:multiLevelType w:val="multilevel"/>
    <w:tmpl w:val="4244932A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Montserrat" w:hAnsi="Montserrat" w:cs="Montserrat"/>
        <w:color w:val="4277B8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4738"/>
    <w:rsid w:val="00AD56BB"/>
    <w:rsid w:val="00E8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professors</dc:creator>
  <cp:lastModifiedBy>professors</cp:lastModifiedBy>
  <cp:revision>2</cp:revision>
  <dcterms:created xsi:type="dcterms:W3CDTF">2019-05-13T13:27:00Z</dcterms:created>
  <dcterms:modified xsi:type="dcterms:W3CDTF">2019-05-13T13:27:00Z</dcterms:modified>
</cp:coreProperties>
</file>