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42" w:rsidRDefault="00EA55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8250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6120"/>
      </w:tblGrid>
      <w:tr w:rsidR="00EA5542">
        <w:tc>
          <w:tcPr>
            <w:tcW w:w="8250" w:type="dxa"/>
            <w:gridSpan w:val="2"/>
          </w:tcPr>
          <w:p w:rsidR="00EA5542" w:rsidRDefault="003246F7">
            <w:pPr>
              <w:jc w:val="center"/>
              <w:rPr>
                <w:rFonts w:ascii="Source Code Pro" w:eastAsia="Source Code Pro" w:hAnsi="Source Code Pro" w:cs="Source Code Pro"/>
                <w:b/>
                <w:i/>
                <w:sz w:val="48"/>
                <w:szCs w:val="48"/>
              </w:rPr>
            </w:pPr>
            <w:proofErr w:type="spellStart"/>
            <w:r>
              <w:rPr>
                <w:rFonts w:ascii="Source Code Pro" w:eastAsia="Source Code Pro" w:hAnsi="Source Code Pro" w:cs="Source Code Pro"/>
                <w:b/>
                <w:i/>
                <w:sz w:val="48"/>
                <w:szCs w:val="48"/>
              </w:rPr>
              <w:t>betadine</w:t>
            </w:r>
            <w:proofErr w:type="spellEnd"/>
            <w:r>
              <w:rPr>
                <w:rFonts w:ascii="Source Code Pro" w:eastAsia="Source Code Pro" w:hAnsi="Source Code Pro" w:cs="Source Code Pro"/>
                <w:b/>
                <w:i/>
                <w:sz w:val="48"/>
                <w:szCs w:val="48"/>
              </w:rPr>
              <w:t xml:space="preserve"> gel</w:t>
            </w:r>
          </w:p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13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CODI N. 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  <w:color w:val="333333"/>
                <w:sz w:val="21"/>
                <w:szCs w:val="21"/>
              </w:rPr>
              <w:t>917906</w:t>
            </w:r>
          </w:p>
        </w:tc>
      </w:tr>
      <w:tr w:rsidR="00EA5542">
        <w:trPr>
          <w:trHeight w:val="240"/>
        </w:trPr>
        <w:tc>
          <w:tcPr>
            <w:tcW w:w="213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CÓDIGO ATC</w:t>
            </w:r>
          </w:p>
        </w:tc>
        <w:tc>
          <w:tcPr>
            <w:tcW w:w="6120" w:type="dxa"/>
          </w:tcPr>
          <w:p w:rsidR="00EA5542" w:rsidRDefault="003246F7">
            <w:pPr>
              <w:numPr>
                <w:ilvl w:val="0"/>
                <w:numId w:val="3"/>
              </w:numPr>
              <w:rPr>
                <w:rFonts w:ascii="Source Code Pro" w:eastAsia="Source Code Pro" w:hAnsi="Source Code Pro" w:cs="Source Code Pro"/>
                <w:b/>
                <w:i/>
                <w:color w:val="000000"/>
              </w:rPr>
            </w:pPr>
            <w:r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  <w:t>D08A - ANTISÉPTICOS Y DESINFECTANTES</w:t>
            </w:r>
          </w:p>
          <w:p w:rsidR="00EA5542" w:rsidRDefault="003246F7">
            <w:pPr>
              <w:numPr>
                <w:ilvl w:val="0"/>
                <w:numId w:val="3"/>
              </w:numPr>
              <w:rPr>
                <w:rFonts w:ascii="Source Code Pro" w:eastAsia="Source Code Pro" w:hAnsi="Source Code Pro" w:cs="Source Code Pro"/>
                <w:b/>
                <w:i/>
                <w:color w:val="000000"/>
              </w:rPr>
            </w:pPr>
            <w:r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  <w:t>D08AG - PRODUCTOS CON YODO</w:t>
            </w:r>
          </w:p>
          <w:p w:rsidR="00EA5542" w:rsidRDefault="003246F7">
            <w:pPr>
              <w:numPr>
                <w:ilvl w:val="0"/>
                <w:numId w:val="3"/>
              </w:numPr>
              <w:spacing w:after="160"/>
              <w:rPr>
                <w:rFonts w:ascii="Source Code Pro" w:eastAsia="Source Code Pro" w:hAnsi="Source Code Pro" w:cs="Source Code Pro"/>
                <w:b/>
                <w:i/>
                <w:color w:val="000000"/>
              </w:rPr>
            </w:pPr>
            <w:r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  <w:t>D08AG02 - POVIDONA YODADA</w:t>
            </w:r>
          </w:p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13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CLASSIFICACIÓ TERAPÈUTICA</w:t>
            </w:r>
          </w:p>
        </w:tc>
        <w:tc>
          <w:tcPr>
            <w:tcW w:w="6120" w:type="dxa"/>
          </w:tcPr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13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PRINCIPI ACTIU</w:t>
            </w:r>
          </w:p>
        </w:tc>
        <w:tc>
          <w:tcPr>
            <w:tcW w:w="6120" w:type="dxa"/>
          </w:tcPr>
          <w:p w:rsidR="00EA5542" w:rsidRDefault="003246F7">
            <w:pPr>
              <w:spacing w:after="160"/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  <w:t>POVIDONA IODADA</w:t>
            </w:r>
          </w:p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13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PRESENTACIÓ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  <w:sz w:val="24"/>
                <w:szCs w:val="24"/>
              </w:rPr>
              <w:t>1 tubo de 30 mg</w:t>
            </w:r>
          </w:p>
        </w:tc>
      </w:tr>
      <w:tr w:rsidR="00EA5542">
        <w:trPr>
          <w:trHeight w:val="240"/>
        </w:trPr>
        <w:tc>
          <w:tcPr>
            <w:tcW w:w="213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INDICACIONES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  <w:color w:val="333333"/>
              </w:rPr>
              <w:t>irritación de la piel o alergia</w:t>
            </w:r>
          </w:p>
        </w:tc>
      </w:tr>
      <w:tr w:rsidR="00EA5542">
        <w:tc>
          <w:tcPr>
            <w:tcW w:w="213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CONTRAINDICACIONES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- Hipersensibilidad al principio activo o a alguno de los excipientes incluidos en la sección 6.1. No aplicar a personas que presenten intolerancia al iodo o a medicamentos iodados. - Hipertiroidismo. - O</w:t>
            </w:r>
            <w:r>
              <w:rPr>
                <w:rFonts w:ascii="Source Code Pro" w:eastAsia="Source Code Pro" w:hAnsi="Source Code Pro" w:cs="Source Code Pro"/>
                <w:b/>
                <w:i/>
              </w:rPr>
              <w:t>tras enfermedades agudas de tiroides</w:t>
            </w:r>
          </w:p>
        </w:tc>
      </w:tr>
      <w:tr w:rsidR="00EA5542">
        <w:tc>
          <w:tcPr>
            <w:tcW w:w="213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ADVERTÈNCIES 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Solo para uso externo. NO INGERIR.</w:t>
            </w:r>
          </w:p>
        </w:tc>
      </w:tr>
      <w:tr w:rsidR="00EA5542">
        <w:tc>
          <w:tcPr>
            <w:tcW w:w="213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LACTÀNCIA I EMBARÀS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Se ha demostrado que el iodo absorbido puede atravesar la barrera placentaria. El uso de </w:t>
            </w:r>
            <w:proofErr w:type="spellStart"/>
            <w:r>
              <w:rPr>
                <w:rFonts w:ascii="Source Code Pro" w:eastAsia="Source Code Pro" w:hAnsi="Source Code Pro" w:cs="Source Code Pro"/>
                <w:b/>
                <w:i/>
              </w:rPr>
              <w:t>povidona</w:t>
            </w:r>
            <w:proofErr w:type="spellEnd"/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 iodada puede inducir un hipotiroidismo transitorio con elevación de TSH (hormona estimulante del tiroides) en los fetos o en los recién nacidos. Puede ser nec</w:t>
            </w: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esario un control de la función tiroidea de los niños. </w:t>
            </w:r>
          </w:p>
        </w:tc>
      </w:tr>
      <w:tr w:rsidR="00EA5542">
        <w:tc>
          <w:tcPr>
            <w:tcW w:w="213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INTERACCIONES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proofErr w:type="gramStart"/>
            <w:r>
              <w:rPr>
                <w:rFonts w:ascii="Source Code Pro" w:eastAsia="Source Code Pro" w:hAnsi="Source Code Pro" w:cs="Source Code Pro"/>
                <w:b/>
                <w:i/>
              </w:rPr>
              <w:t>iodo</w:t>
            </w:r>
            <w:proofErr w:type="gramEnd"/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 es efectivo a valores de pH entre 2.0 y 7.0. Cabe esperar que el complejo </w:t>
            </w:r>
            <w:proofErr w:type="gramStart"/>
            <w:r>
              <w:rPr>
                <w:rFonts w:ascii="Source Code Pro" w:eastAsia="Source Code Pro" w:hAnsi="Source Code Pro" w:cs="Source Code Pro"/>
                <w:b/>
                <w:i/>
              </w:rPr>
              <w:t>reacciona</w:t>
            </w:r>
            <w:proofErr w:type="gramEnd"/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 con proteínas y otros compuestos orgánicos insaturados, llevando a una deficiencia de su efectiv</w:t>
            </w: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idad. </w:t>
            </w:r>
          </w:p>
        </w:tc>
      </w:tr>
    </w:tbl>
    <w:p w:rsidR="00EA5542" w:rsidRDefault="003246F7">
      <w:pPr>
        <w:rPr>
          <w:rFonts w:ascii="Impact" w:eastAsia="Impact" w:hAnsi="Impact" w:cs="Impact"/>
          <w:i/>
        </w:rPr>
      </w:pPr>
      <w:r>
        <w:rPr>
          <w:rFonts w:ascii="Impact" w:eastAsia="Impact" w:hAnsi="Impact" w:cs="Impact"/>
          <w:i/>
        </w:rPr>
        <w:t xml:space="preserve">FARMACIOLA PER A CAMP DE REFUGIATS </w:t>
      </w:r>
    </w:p>
    <w:p w:rsidR="00EA5542" w:rsidRDefault="00EA5542">
      <w:pPr>
        <w:rPr>
          <w:rFonts w:ascii="Impact" w:eastAsia="Impact" w:hAnsi="Impact" w:cs="Impact"/>
        </w:rPr>
      </w:pPr>
      <w:bookmarkStart w:id="1" w:name="_cl1pskmyjypx" w:colFirst="0" w:colLast="0"/>
      <w:bookmarkEnd w:id="1"/>
    </w:p>
    <w:p w:rsidR="00EA5542" w:rsidRDefault="00EA5542">
      <w:pPr>
        <w:rPr>
          <w:rFonts w:ascii="Impact" w:eastAsia="Impact" w:hAnsi="Impact" w:cs="Impact"/>
        </w:rPr>
      </w:pPr>
      <w:bookmarkStart w:id="2" w:name="_aqqtvwdphram" w:colFirst="0" w:colLast="0"/>
      <w:bookmarkEnd w:id="2"/>
    </w:p>
    <w:p w:rsidR="00EA5542" w:rsidRDefault="003246F7">
      <w:pPr>
        <w:pStyle w:val="Ttulo5"/>
        <w:keepNext w:val="0"/>
        <w:keepLines w:val="0"/>
        <w:shd w:val="clear" w:color="auto" w:fill="FFFFFF"/>
        <w:spacing w:line="240" w:lineRule="auto"/>
        <w:rPr>
          <w:rFonts w:ascii="Impact" w:eastAsia="Impact" w:hAnsi="Impact" w:cs="Impact"/>
        </w:rPr>
      </w:pPr>
      <w:bookmarkStart w:id="3" w:name="_8dnhvdqg6d55" w:colFirst="0" w:colLast="0"/>
      <w:bookmarkEnd w:id="3"/>
      <w:r>
        <w:rPr>
          <w:rFonts w:ascii="Roboto" w:eastAsia="Roboto" w:hAnsi="Roboto" w:cs="Roboto"/>
          <w:b w:val="0"/>
          <w:color w:val="333333"/>
          <w:sz w:val="20"/>
          <w:szCs w:val="20"/>
        </w:rPr>
        <w:t xml:space="preserve"> </w:t>
      </w:r>
    </w:p>
    <w:p w:rsidR="00EA5542" w:rsidRDefault="00EA5542">
      <w:pPr>
        <w:widowControl w:val="0"/>
        <w:spacing w:after="0"/>
        <w:rPr>
          <w:rFonts w:ascii="Arial" w:eastAsia="Arial" w:hAnsi="Arial" w:cs="Arial"/>
        </w:rPr>
      </w:pPr>
    </w:p>
    <w:p w:rsidR="00EA5542" w:rsidRDefault="00EA5542">
      <w:pPr>
        <w:widowControl w:val="0"/>
        <w:spacing w:after="0"/>
        <w:rPr>
          <w:rFonts w:ascii="Arial" w:eastAsia="Arial" w:hAnsi="Arial" w:cs="Arial"/>
        </w:rPr>
      </w:pPr>
    </w:p>
    <w:p w:rsidR="00EA5542" w:rsidRDefault="00EA5542">
      <w:pPr>
        <w:widowControl w:val="0"/>
        <w:spacing w:after="0"/>
        <w:rPr>
          <w:rFonts w:ascii="Arial" w:eastAsia="Arial" w:hAnsi="Arial" w:cs="Arial"/>
        </w:rPr>
      </w:pPr>
    </w:p>
    <w:p w:rsidR="00EA5542" w:rsidRDefault="00EA5542">
      <w:pPr>
        <w:widowControl w:val="0"/>
        <w:spacing w:after="0"/>
        <w:rPr>
          <w:rFonts w:ascii="Arial" w:eastAsia="Arial" w:hAnsi="Arial" w:cs="Arial"/>
        </w:rPr>
      </w:pPr>
    </w:p>
    <w:p w:rsidR="00EA5542" w:rsidRDefault="00EA5542">
      <w:pPr>
        <w:widowControl w:val="0"/>
        <w:spacing w:after="0"/>
        <w:rPr>
          <w:rFonts w:ascii="Arial" w:eastAsia="Arial" w:hAnsi="Arial" w:cs="Arial"/>
        </w:rPr>
      </w:pPr>
    </w:p>
    <w:p w:rsidR="00EA5542" w:rsidRDefault="00EA5542">
      <w:pPr>
        <w:widowControl w:val="0"/>
        <w:spacing w:after="0"/>
        <w:rPr>
          <w:rFonts w:ascii="Arial" w:eastAsia="Arial" w:hAnsi="Arial" w:cs="Arial"/>
        </w:rPr>
      </w:pPr>
    </w:p>
    <w:p w:rsidR="00EA5542" w:rsidRDefault="00EA5542">
      <w:pPr>
        <w:widowControl w:val="0"/>
        <w:spacing w:after="0"/>
        <w:rPr>
          <w:rFonts w:ascii="Arial" w:eastAsia="Arial" w:hAnsi="Arial" w:cs="Arial"/>
        </w:rPr>
      </w:pPr>
    </w:p>
    <w:p w:rsidR="00EA5542" w:rsidRDefault="00EA5542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0"/>
        <w:tblW w:w="8130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6120"/>
      </w:tblGrid>
      <w:tr w:rsidR="00EA5542">
        <w:tc>
          <w:tcPr>
            <w:tcW w:w="8130" w:type="dxa"/>
            <w:gridSpan w:val="2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                  </w:t>
            </w:r>
            <w:r>
              <w:rPr>
                <w:rFonts w:ascii="Montserrat" w:eastAsia="Montserrat" w:hAnsi="Montserrat" w:cs="Montserrat"/>
                <w:i/>
                <w:sz w:val="40"/>
                <w:szCs w:val="40"/>
              </w:rPr>
              <w:t>TOPIONIC</w:t>
            </w: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CODI N. 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Montserrat" w:eastAsia="Montserrat" w:hAnsi="Montserrat" w:cs="Montserrat"/>
                <w:b/>
                <w:i/>
                <w:color w:val="4175B4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i/>
                <w:sz w:val="21"/>
                <w:szCs w:val="21"/>
                <w:highlight w:val="white"/>
              </w:rPr>
              <w:t>938985</w:t>
            </w:r>
          </w:p>
        </w:tc>
      </w:tr>
      <w:tr w:rsidR="00EA5542">
        <w:trPr>
          <w:trHeight w:val="240"/>
        </w:trPr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CÓDIGO ATC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D08AG03</w:t>
            </w: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CLASSIFICACIÓ TERAPÈUTICA</w:t>
            </w:r>
          </w:p>
        </w:tc>
        <w:tc>
          <w:tcPr>
            <w:tcW w:w="6120" w:type="dxa"/>
          </w:tcPr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PRINCIPI ACTIU</w:t>
            </w:r>
          </w:p>
        </w:tc>
        <w:tc>
          <w:tcPr>
            <w:tcW w:w="6120" w:type="dxa"/>
          </w:tcPr>
          <w:p w:rsidR="00EA5542" w:rsidRDefault="003246F7">
            <w:pPr>
              <w:spacing w:after="160"/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  <w:t>POVIDONA IODADA</w:t>
            </w:r>
          </w:p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PRESENTACIÓ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Roboto" w:eastAsia="Roboto" w:hAnsi="Roboto" w:cs="Roboto"/>
                <w:b/>
                <w:i/>
                <w:sz w:val="24"/>
                <w:szCs w:val="24"/>
              </w:rPr>
              <w:t xml:space="preserve"> 1 frasco de 500 ml</w:t>
            </w:r>
          </w:p>
        </w:tc>
      </w:tr>
      <w:tr w:rsidR="00EA5542">
        <w:trPr>
          <w:trHeight w:val="240"/>
        </w:trPr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INDICACIONES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Tintura de yodo </w:t>
            </w:r>
            <w:proofErr w:type="spellStart"/>
            <w:r>
              <w:rPr>
                <w:rFonts w:ascii="Source Code Pro" w:eastAsia="Source Code Pro" w:hAnsi="Source Code Pro" w:cs="Source Code Pro"/>
                <w:b/>
                <w:i/>
              </w:rPr>
              <w:t>Orravan</w:t>
            </w:r>
            <w:proofErr w:type="spellEnd"/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 20 mg/ml solución cutánea es un antiséptico de la piel de uso general en heridas pequeñas o superficiales y en la desinfección de la piel previa a punción venosa o antes de una intervención quirúrgica.</w:t>
            </w: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CONTRAINDICACIONES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Hipersensi</w:t>
            </w:r>
            <w:r>
              <w:rPr>
                <w:rFonts w:ascii="Source Code Pro" w:eastAsia="Source Code Pro" w:hAnsi="Source Code Pro" w:cs="Source Code Pro"/>
                <w:b/>
                <w:i/>
              </w:rPr>
              <w:t>bilidad al principio activo o a alguno de los excipientes incluidos en la sección 6.1. En pacientes quemados. En pacientes neonatos de 0 a 1 mes.</w:t>
            </w: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ADVERTÈNCIES 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- No ingerir. Uso exclusivamente externo. - Debe evitarse el uso regular o prolongado de este p</w:t>
            </w: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roducto, especialmente en pacientes con: 2 de 6 - quemaduras que afecten a más del 20% de la superficie corporal - heridas grandes o abiertas - insuficiencia hepática - fallo renal - trastornos tiroideos - tratamiento establecido con litio.  </w:t>
            </w: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LACTÀNCIA I </w:t>
            </w:r>
            <w:r>
              <w:rPr>
                <w:rFonts w:ascii="Source Code Pro" w:eastAsia="Source Code Pro" w:hAnsi="Source Code Pro" w:cs="Source Code Pro"/>
                <w:b/>
                <w:i/>
              </w:rPr>
              <w:t>EMBARÀS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  <w:t xml:space="preserve">Debe evitarse el uso continuado de Tintura de yodo </w:t>
            </w:r>
            <w:proofErr w:type="spellStart"/>
            <w:r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  <w:t>Orravan</w:t>
            </w:r>
            <w:proofErr w:type="spellEnd"/>
            <w:r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  <w:t xml:space="preserve"> 20 mg/ml solución cutánea en áreas extensas de la piel o en exceso, en mujeres en período de lactancia, ya que el yodo absorbido puede excretarse por la leche materna, por lo que podría pro</w:t>
            </w:r>
            <w:r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  <w:t>ducir exposición significativa en el lactante y posible disfunción tiroidea o bocio.</w:t>
            </w:r>
          </w:p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color w:val="333333"/>
                <w:sz w:val="24"/>
                <w:szCs w:val="24"/>
                <w:highlight w:val="white"/>
              </w:rPr>
              <w:t>Puede causar daño fetal administrado a mujeres embarazadas. La paciente debe ser advertida del daño potencial para el feto.</w:t>
            </w:r>
            <w:r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INTERACCIONES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Se debe evitar el uso prolongado de Tintura de yodo </w:t>
            </w:r>
            <w:proofErr w:type="spellStart"/>
            <w:r>
              <w:rPr>
                <w:rFonts w:ascii="Source Code Pro" w:eastAsia="Source Code Pro" w:hAnsi="Source Code Pro" w:cs="Source Code Pro"/>
                <w:b/>
                <w:i/>
              </w:rPr>
              <w:t>Orravan</w:t>
            </w:r>
            <w:proofErr w:type="spellEnd"/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 20 mg/ml en pacientes que se encuentren en terapia simultánea con litio. La administración conjunta podría producir un efecto hipotiroideo.</w:t>
            </w:r>
          </w:p>
        </w:tc>
      </w:tr>
    </w:tbl>
    <w:p w:rsidR="00EA5542" w:rsidRDefault="003246F7">
      <w:pPr>
        <w:rPr>
          <w:rFonts w:ascii="Arial" w:eastAsia="Arial" w:hAnsi="Arial" w:cs="Arial"/>
        </w:rPr>
      </w:pPr>
      <w:r>
        <w:rPr>
          <w:rFonts w:ascii="Impact" w:eastAsia="Impact" w:hAnsi="Impact" w:cs="Impact"/>
          <w:i/>
        </w:rPr>
        <w:t xml:space="preserve">FARMACIOLA PER A CAMP DE REFUGIATS </w:t>
      </w:r>
    </w:p>
    <w:p w:rsidR="00EA5542" w:rsidRDefault="00EA5542">
      <w:pPr>
        <w:rPr>
          <w:rFonts w:ascii="Impact" w:eastAsia="Impact" w:hAnsi="Impact" w:cs="Impact"/>
        </w:rPr>
      </w:pPr>
      <w:bookmarkStart w:id="4" w:name="_vtger5a0alyf" w:colFirst="0" w:colLast="0"/>
      <w:bookmarkEnd w:id="4"/>
    </w:p>
    <w:p w:rsidR="00EA5542" w:rsidRDefault="00EA5542">
      <w:pPr>
        <w:rPr>
          <w:rFonts w:ascii="Impact" w:eastAsia="Impact" w:hAnsi="Impact" w:cs="Impact"/>
        </w:rPr>
      </w:pPr>
      <w:bookmarkStart w:id="5" w:name="_56sj2sy3j6cf" w:colFirst="0" w:colLast="0"/>
      <w:bookmarkEnd w:id="5"/>
    </w:p>
    <w:p w:rsidR="00EA5542" w:rsidRDefault="00EA5542">
      <w:pPr>
        <w:rPr>
          <w:rFonts w:ascii="Impact" w:eastAsia="Impact" w:hAnsi="Impact" w:cs="Impact"/>
        </w:rPr>
      </w:pPr>
      <w:bookmarkStart w:id="6" w:name="_mlgdrlc8ekwo" w:colFirst="0" w:colLast="0"/>
      <w:bookmarkEnd w:id="6"/>
    </w:p>
    <w:p w:rsidR="00EA5542" w:rsidRDefault="00EA5542">
      <w:pPr>
        <w:rPr>
          <w:rFonts w:ascii="Impact" w:eastAsia="Impact" w:hAnsi="Impact" w:cs="Impact"/>
        </w:rPr>
      </w:pPr>
      <w:bookmarkStart w:id="7" w:name="_hwzki14zgyww" w:colFirst="0" w:colLast="0"/>
      <w:bookmarkEnd w:id="7"/>
    </w:p>
    <w:p w:rsidR="00EA5542" w:rsidRDefault="00EA5542">
      <w:pPr>
        <w:rPr>
          <w:rFonts w:ascii="Impact" w:eastAsia="Impact" w:hAnsi="Impact" w:cs="Impact"/>
        </w:rPr>
      </w:pPr>
      <w:bookmarkStart w:id="8" w:name="_mzrdvys7lncn" w:colFirst="0" w:colLast="0"/>
      <w:bookmarkEnd w:id="8"/>
    </w:p>
    <w:p w:rsidR="00EA5542" w:rsidRDefault="00EA5542">
      <w:pPr>
        <w:rPr>
          <w:rFonts w:ascii="Impact" w:eastAsia="Impact" w:hAnsi="Impact" w:cs="Impact"/>
        </w:rPr>
      </w:pPr>
      <w:bookmarkStart w:id="9" w:name="_x6hzu9upb0ju" w:colFirst="0" w:colLast="0"/>
      <w:bookmarkEnd w:id="9"/>
    </w:p>
    <w:p w:rsidR="00EA5542" w:rsidRDefault="00EA5542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1"/>
        <w:tblW w:w="8130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6120"/>
      </w:tblGrid>
      <w:tr w:rsidR="00EA5542">
        <w:tc>
          <w:tcPr>
            <w:tcW w:w="8130" w:type="dxa"/>
            <w:gridSpan w:val="2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                 </w:t>
            </w:r>
            <w:proofErr w:type="spellStart"/>
            <w:r>
              <w:rPr>
                <w:rFonts w:ascii="Source Code Pro" w:eastAsia="Source Code Pro" w:hAnsi="Source Code Pro" w:cs="Source Code Pro"/>
                <w:b/>
                <w:i/>
                <w:color w:val="333333"/>
                <w:highlight w:val="white"/>
              </w:rPr>
              <w:t>Cristalmina</w:t>
            </w:r>
            <w:proofErr w:type="spellEnd"/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CODI N. 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Montserrat" w:eastAsia="Montserrat" w:hAnsi="Montserrat" w:cs="Montserrat"/>
                <w:b/>
                <w:i/>
                <w:color w:val="4175B4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EA5542">
        <w:trPr>
          <w:trHeight w:val="240"/>
        </w:trPr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CÓDIGO ATC</w:t>
            </w:r>
          </w:p>
        </w:tc>
        <w:tc>
          <w:tcPr>
            <w:tcW w:w="6120" w:type="dxa"/>
          </w:tcPr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CLASSIFICACIÓ TERAPÈUTICA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</w:pPr>
            <w:r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  <w:t>Antiséptico de heridas y quemaduras leves de la piel. Antiséptico del ombligo en recién nacidos.</w:t>
            </w: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PRINCIPI ACTIU</w:t>
            </w:r>
          </w:p>
        </w:tc>
        <w:tc>
          <w:tcPr>
            <w:tcW w:w="6120" w:type="dxa"/>
          </w:tcPr>
          <w:p w:rsidR="00EA5542" w:rsidRDefault="003246F7">
            <w:pPr>
              <w:spacing w:after="160"/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Source Code Pro" w:eastAsia="Source Code Pro" w:hAnsi="Source Code Pro" w:cs="Source Code Pro"/>
                <w:b/>
                <w:i/>
                <w:color w:val="333333"/>
                <w:highlight w:val="white"/>
              </w:rPr>
              <w:t>digluconato</w:t>
            </w:r>
            <w:proofErr w:type="spellEnd"/>
            <w:r>
              <w:rPr>
                <w:rFonts w:ascii="Source Code Pro" w:eastAsia="Source Code Pro" w:hAnsi="Source Code Pro" w:cs="Source Code Pro"/>
                <w:b/>
                <w:i/>
                <w:color w:val="333333"/>
                <w:highlight w:val="white"/>
              </w:rPr>
              <w:t xml:space="preserve"> de </w:t>
            </w:r>
            <w:proofErr w:type="spellStart"/>
            <w:r>
              <w:rPr>
                <w:rFonts w:ascii="Source Code Pro" w:eastAsia="Source Code Pro" w:hAnsi="Source Code Pro" w:cs="Source Code Pro"/>
                <w:b/>
                <w:i/>
                <w:color w:val="333333"/>
                <w:highlight w:val="white"/>
              </w:rPr>
              <w:t>clorhexidina</w:t>
            </w:r>
            <w:proofErr w:type="spellEnd"/>
          </w:p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PRESENTACIÓ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Roboto" w:eastAsia="Roboto" w:hAnsi="Roboto" w:cs="Roboto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Roboto" w:eastAsia="Roboto" w:hAnsi="Roboto" w:cs="Roboto"/>
                <w:b/>
                <w:i/>
                <w:color w:val="333333"/>
                <w:highlight w:val="white"/>
              </w:rPr>
              <w:t>10 mg/ml</w:t>
            </w:r>
          </w:p>
        </w:tc>
      </w:tr>
      <w:tr w:rsidR="00EA5542">
        <w:trPr>
          <w:trHeight w:val="240"/>
        </w:trPr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INDICACIONES</w:t>
            </w:r>
          </w:p>
        </w:tc>
        <w:tc>
          <w:tcPr>
            <w:tcW w:w="6120" w:type="dxa"/>
          </w:tcPr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CONTRAINDICACIONES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Times New Roman" w:eastAsia="Times New Roman" w:hAnsi="Times New Roman" w:cs="Times New Roman"/>
                <w:b/>
                <w:i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t>No utilizar en ojos ni oídos, ni en el interior de la boca u otras mucosas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t>..</w:t>
            </w:r>
            <w:proofErr w:type="gramEnd"/>
          </w:p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ADVERTÈNCIES </w:t>
            </w:r>
          </w:p>
        </w:tc>
        <w:tc>
          <w:tcPr>
            <w:tcW w:w="6120" w:type="dxa"/>
          </w:tcPr>
          <w:p w:rsidR="00EA5542" w:rsidRDefault="003246F7">
            <w:pPr>
              <w:numPr>
                <w:ilvl w:val="0"/>
                <w:numId w:val="2"/>
              </w:numPr>
              <w:ind w:left="9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Uso externo sobre la piel. No ingerir.</w:t>
            </w:r>
          </w:p>
          <w:p w:rsidR="00EA5542" w:rsidRDefault="003246F7">
            <w:pPr>
              <w:numPr>
                <w:ilvl w:val="0"/>
                <w:numId w:val="2"/>
              </w:numPr>
              <w:ind w:left="9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En caso de contacto accidental con ojos u oídos lavar inmediatamente con abundante agua.</w:t>
            </w:r>
          </w:p>
          <w:p w:rsidR="00EA5542" w:rsidRDefault="003246F7">
            <w:pPr>
              <w:numPr>
                <w:ilvl w:val="0"/>
                <w:numId w:val="2"/>
              </w:numPr>
              <w:ind w:left="9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No debe utilizarse en caso de heridas profundas y extensas.</w:t>
            </w:r>
          </w:p>
          <w:p w:rsidR="00EA5542" w:rsidRDefault="003246F7">
            <w:pPr>
              <w:numPr>
                <w:ilvl w:val="0"/>
                <w:numId w:val="2"/>
              </w:numPr>
              <w:ind w:left="9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 xml:space="preserve">Aunque la absorción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clorhexidina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 xml:space="preserve"> a través de la piel es mínima, no puede excluirse el riesgo de efectos sistémicos. Dichos efectos pueden favorecerse en caso de aplicaciones repetidas, por l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a utilización del producto sobre grandes superficies, con vendaje oclusivo, sobre la piel lesionada y en mucosas.</w:t>
            </w:r>
          </w:p>
          <w:p w:rsidR="00EA5542" w:rsidRDefault="003246F7">
            <w:pPr>
              <w:numPr>
                <w:ilvl w:val="0"/>
                <w:numId w:val="2"/>
              </w:numPr>
              <w:ind w:left="92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La utilización en niños menores de 30 meses se realizará exclusivamente bajo control médico.</w:t>
            </w:r>
          </w:p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LACTÀNCIA I EMBARÀS</w:t>
            </w:r>
          </w:p>
        </w:tc>
        <w:tc>
          <w:tcPr>
            <w:tcW w:w="6120" w:type="dxa"/>
          </w:tcPr>
          <w:p w:rsidR="00EA5542" w:rsidRDefault="003246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No se han realizado estudios bien controlados en humanos, pero los estudios de reproducción en animales no han demostrado riesgo para el feto (categoría B según FDA).</w:t>
            </w:r>
          </w:p>
          <w:p w:rsidR="00EA5542" w:rsidRDefault="003246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 xml:space="preserve">No hay datos o estos son limitados relativos al uso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clorhexidina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 xml:space="preserve"> en mujeres embarazada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s.</w:t>
            </w:r>
          </w:p>
          <w:p w:rsidR="00EA5542" w:rsidRDefault="003246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 xml:space="preserve">Los estudios en animales no sugieren efectos perjudiciales directos ni indirectos en términos de toxicidad para la reproducción </w:t>
            </w:r>
          </w:p>
          <w:p w:rsidR="00EA5542" w:rsidRDefault="003246F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 xml:space="preserve">Se desconoce 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clorhexidina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 xml:space="preserve"> o alguno de sus metabolitos se excreta en la leche materna</w:t>
            </w:r>
          </w:p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INTERACCIONES</w:t>
            </w:r>
          </w:p>
        </w:tc>
        <w:tc>
          <w:tcPr>
            <w:tcW w:w="6120" w:type="dxa"/>
          </w:tcPr>
          <w:p w:rsidR="00EA5542" w:rsidRDefault="003246F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 xml:space="preserve">La acción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clorhexidina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 xml:space="preserve"> se ve disminuida por pH alcalino, detergentes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aniónicos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 xml:space="preserve"> y taninos.</w:t>
            </w:r>
          </w:p>
          <w:p w:rsidR="00EA5542" w:rsidRDefault="003246F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- En general, teniendo en cuenta las posibles interferencias (antagonismo, inactivación, etc.) debe evitarse el empleo simultáneo o sucesivo de antisépticos, sa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lvo con otros compuestos catiónicos.</w:t>
            </w:r>
          </w:p>
          <w:p w:rsidR="00EA5542" w:rsidRDefault="003246F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 xml:space="preserve">- En particular: no debe usarse en combinación ni después de la aplicación de jabones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aniónicos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, yodo, sales de metales pesados y ácidos.</w:t>
            </w:r>
          </w:p>
          <w:p w:rsidR="00EA5542" w:rsidRDefault="003246F7">
            <w:pPr>
              <w:spacing w:line="289" w:lineRule="auto"/>
              <w:rPr>
                <w:rFonts w:ascii="Arial" w:eastAsia="Arial" w:hAnsi="Arial" w:cs="Arial"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t xml:space="preserve"> </w:t>
            </w:r>
          </w:p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</w:tbl>
    <w:p w:rsidR="00EA5542" w:rsidRDefault="003246F7">
      <w:pPr>
        <w:rPr>
          <w:rFonts w:ascii="Impact" w:eastAsia="Impact" w:hAnsi="Impact" w:cs="Impact"/>
          <w:i/>
        </w:rPr>
      </w:pPr>
      <w:r>
        <w:rPr>
          <w:rFonts w:ascii="Impact" w:eastAsia="Impact" w:hAnsi="Impact" w:cs="Impact"/>
          <w:i/>
        </w:rPr>
        <w:t>FARMACIOLA PER A CAMP DE REFUGIATS</w:t>
      </w:r>
    </w:p>
    <w:p w:rsidR="00EA5542" w:rsidRDefault="00EA5542">
      <w:pPr>
        <w:rPr>
          <w:rFonts w:ascii="Impact" w:eastAsia="Impact" w:hAnsi="Impact" w:cs="Impact"/>
          <w:i/>
        </w:rPr>
      </w:pPr>
      <w:bookmarkStart w:id="10" w:name="_vxyb1l2v4e4y" w:colFirst="0" w:colLast="0"/>
      <w:bookmarkEnd w:id="10"/>
    </w:p>
    <w:p w:rsidR="00EA5542" w:rsidRDefault="00EA5542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2"/>
        <w:tblW w:w="8130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6120"/>
      </w:tblGrid>
      <w:tr w:rsidR="00EA5542">
        <w:tc>
          <w:tcPr>
            <w:tcW w:w="8130" w:type="dxa"/>
            <w:gridSpan w:val="2"/>
          </w:tcPr>
          <w:p w:rsidR="00EA5542" w:rsidRDefault="003246F7">
            <w:pPr>
              <w:jc w:val="center"/>
              <w:rPr>
                <w:rFonts w:ascii="Montserrat" w:eastAsia="Montserrat" w:hAnsi="Montserrat" w:cs="Montserrat"/>
                <w:b/>
                <w:i/>
                <w:color w:val="FFFFFF"/>
                <w:sz w:val="40"/>
                <w:szCs w:val="40"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         </w:t>
            </w:r>
            <w:proofErr w:type="spellStart"/>
            <w:r>
              <w:rPr>
                <w:rFonts w:ascii="Source Code Pro" w:eastAsia="Source Code Pro" w:hAnsi="Source Code Pro" w:cs="Source Code Pro"/>
                <w:b/>
                <w:i/>
              </w:rPr>
              <w:t>lomper</w:t>
            </w:r>
            <w:proofErr w:type="spellEnd"/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    </w:t>
            </w:r>
            <w:r>
              <w:rPr>
                <w:rFonts w:ascii="Montserrat" w:eastAsia="Montserrat" w:hAnsi="Montserrat" w:cs="Montserrat"/>
                <w:b/>
                <w:i/>
                <w:color w:val="FFFFFF"/>
                <w:sz w:val="40"/>
                <w:szCs w:val="40"/>
              </w:rPr>
              <w:t xml:space="preserve">LOMPER </w:t>
            </w:r>
          </w:p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CODI N. 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Montserrat" w:eastAsia="Montserrat" w:hAnsi="Montserrat" w:cs="Montserrat"/>
                <w:i/>
                <w:color w:val="4175B4"/>
                <w:sz w:val="16"/>
                <w:szCs w:val="16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i/>
                <w:color w:val="4175B4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Montserrat" w:eastAsia="Montserrat" w:hAnsi="Montserrat" w:cs="Montserrat"/>
                <w:i/>
                <w:color w:val="4175B4"/>
                <w:sz w:val="16"/>
                <w:szCs w:val="16"/>
                <w:highlight w:val="white"/>
              </w:rPr>
              <w:t>700670</w:t>
            </w:r>
          </w:p>
          <w:p w:rsidR="00EA5542" w:rsidRDefault="00EA5542">
            <w:pPr>
              <w:rPr>
                <w:rFonts w:ascii="Montserrat" w:eastAsia="Montserrat" w:hAnsi="Montserrat" w:cs="Montserrat"/>
                <w:i/>
                <w:color w:val="4175B4"/>
                <w:sz w:val="16"/>
                <w:szCs w:val="16"/>
                <w:highlight w:val="white"/>
              </w:rPr>
            </w:pPr>
          </w:p>
          <w:p w:rsidR="00EA5542" w:rsidRDefault="00EA5542">
            <w:pPr>
              <w:rPr>
                <w:rFonts w:ascii="Montserrat" w:eastAsia="Montserrat" w:hAnsi="Montserrat" w:cs="Montserrat"/>
                <w:b/>
                <w:i/>
                <w:color w:val="4175B4"/>
                <w:sz w:val="16"/>
                <w:szCs w:val="16"/>
                <w:highlight w:val="white"/>
              </w:rPr>
            </w:pPr>
          </w:p>
        </w:tc>
      </w:tr>
      <w:tr w:rsidR="00EA5542">
        <w:trPr>
          <w:trHeight w:val="240"/>
        </w:trPr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CÓDIGO ATC</w:t>
            </w:r>
          </w:p>
        </w:tc>
        <w:tc>
          <w:tcPr>
            <w:tcW w:w="6120" w:type="dxa"/>
          </w:tcPr>
          <w:p w:rsidR="00EA5542" w:rsidRDefault="003246F7">
            <w:pPr>
              <w:numPr>
                <w:ilvl w:val="0"/>
                <w:numId w:val="4"/>
              </w:numPr>
              <w:rPr>
                <w:b/>
                <w:i/>
              </w:rPr>
            </w:pPr>
            <w:r>
              <w:rPr>
                <w:rFonts w:ascii="Montserrat" w:eastAsia="Montserrat" w:hAnsi="Montserrat" w:cs="Montserrat"/>
                <w:b/>
                <w:i/>
                <w:color w:val="4277B8"/>
                <w:sz w:val="20"/>
                <w:szCs w:val="20"/>
              </w:rPr>
              <w:t>P02C - ANTINEMATODOS</w:t>
            </w:r>
          </w:p>
          <w:p w:rsidR="00EA5542" w:rsidRDefault="003246F7">
            <w:pPr>
              <w:numPr>
                <w:ilvl w:val="0"/>
                <w:numId w:val="4"/>
              </w:numPr>
              <w:rPr>
                <w:b/>
                <w:i/>
              </w:rPr>
            </w:pPr>
            <w:r>
              <w:rPr>
                <w:rFonts w:ascii="Montserrat" w:eastAsia="Montserrat" w:hAnsi="Montserrat" w:cs="Montserrat"/>
                <w:b/>
                <w:i/>
                <w:color w:val="4277B8"/>
                <w:sz w:val="20"/>
                <w:szCs w:val="20"/>
              </w:rPr>
              <w:t>P02CA - DERIVADOS DEL BENZIMIDAZOL</w:t>
            </w:r>
          </w:p>
          <w:p w:rsidR="00EA5542" w:rsidRDefault="003246F7">
            <w:pPr>
              <w:numPr>
                <w:ilvl w:val="0"/>
                <w:numId w:val="4"/>
              </w:numPr>
              <w:spacing w:after="160"/>
              <w:rPr>
                <w:b/>
                <w:i/>
              </w:rPr>
            </w:pPr>
            <w:r>
              <w:rPr>
                <w:rFonts w:ascii="Montserrat" w:eastAsia="Montserrat" w:hAnsi="Montserrat" w:cs="Montserrat"/>
                <w:b/>
                <w:i/>
                <w:color w:val="4277B8"/>
                <w:sz w:val="20"/>
                <w:szCs w:val="20"/>
              </w:rPr>
              <w:t>P02CA01 - MEBENDAZO</w:t>
            </w:r>
          </w:p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CLASSIFICACIÓ TERAPÈUTICA</w:t>
            </w:r>
          </w:p>
        </w:tc>
        <w:tc>
          <w:tcPr>
            <w:tcW w:w="6120" w:type="dxa"/>
          </w:tcPr>
          <w:p w:rsidR="00EA5542" w:rsidRDefault="003246F7">
            <w:pPr>
              <w:numPr>
                <w:ilvl w:val="0"/>
                <w:numId w:val="1"/>
              </w:numPr>
              <w:ind w:left="9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Enterobiasis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oxiuriasis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)</w:t>
            </w:r>
          </w:p>
          <w:p w:rsidR="00EA5542" w:rsidRDefault="003246F7">
            <w:pPr>
              <w:numPr>
                <w:ilvl w:val="0"/>
                <w:numId w:val="1"/>
              </w:numPr>
              <w:ind w:left="9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Trichuriasis</w:t>
            </w:r>
            <w:proofErr w:type="spellEnd"/>
          </w:p>
          <w:p w:rsidR="00EA5542" w:rsidRDefault="003246F7">
            <w:pPr>
              <w:numPr>
                <w:ilvl w:val="0"/>
                <w:numId w:val="1"/>
              </w:numPr>
              <w:ind w:left="9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Ascariasis</w:t>
            </w:r>
            <w:proofErr w:type="spellEnd"/>
          </w:p>
          <w:p w:rsidR="00EA5542" w:rsidRDefault="003246F7">
            <w:pPr>
              <w:numPr>
                <w:ilvl w:val="0"/>
                <w:numId w:val="1"/>
              </w:numPr>
              <w:ind w:left="9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Anquilostomiasis</w:t>
            </w:r>
          </w:p>
          <w:p w:rsidR="00EA5542" w:rsidRDefault="003246F7">
            <w:pPr>
              <w:numPr>
                <w:ilvl w:val="0"/>
                <w:numId w:val="1"/>
              </w:numPr>
              <w:ind w:left="9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Necatoriasis</w:t>
            </w:r>
            <w:proofErr w:type="spellEnd"/>
          </w:p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PRINCIPI ACTIU</w:t>
            </w:r>
          </w:p>
        </w:tc>
        <w:tc>
          <w:tcPr>
            <w:tcW w:w="6120" w:type="dxa"/>
          </w:tcPr>
          <w:p w:rsidR="00EA5542" w:rsidRDefault="003246F7">
            <w:pPr>
              <w:numPr>
                <w:ilvl w:val="0"/>
                <w:numId w:val="5"/>
              </w:numPr>
              <w:spacing w:after="160"/>
              <w:rPr>
                <w:b/>
                <w:i/>
              </w:rPr>
            </w:pPr>
            <w:r>
              <w:rPr>
                <w:rFonts w:ascii="Montserrat" w:eastAsia="Montserrat" w:hAnsi="Montserrat" w:cs="Montserrat"/>
                <w:b/>
                <w:i/>
                <w:color w:val="4277B8"/>
                <w:sz w:val="20"/>
                <w:szCs w:val="20"/>
              </w:rPr>
              <w:t>MEBENDAZOL</w:t>
            </w:r>
          </w:p>
          <w:p w:rsidR="00EA5542" w:rsidRDefault="00EA5542">
            <w:pPr>
              <w:spacing w:after="160"/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</w:pPr>
          </w:p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PRESENTACIÓ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Montserrat" w:eastAsia="Montserrat" w:hAnsi="Montserrat" w:cs="Montserrat"/>
                <w:b/>
                <w:i/>
                <w:color w:val="4277B8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i/>
                <w:color w:val="4277B8"/>
                <w:sz w:val="20"/>
                <w:szCs w:val="20"/>
              </w:rPr>
              <w:t>100 MG</w:t>
            </w:r>
          </w:p>
          <w:p w:rsidR="00EA5542" w:rsidRDefault="00EA5542">
            <w:pPr>
              <w:rPr>
                <w:rFonts w:ascii="Roboto" w:eastAsia="Roboto" w:hAnsi="Roboto" w:cs="Roboto"/>
                <w:b/>
                <w:i/>
                <w:sz w:val="24"/>
                <w:szCs w:val="24"/>
              </w:rPr>
            </w:pPr>
          </w:p>
        </w:tc>
      </w:tr>
      <w:tr w:rsidR="00EA5542">
        <w:trPr>
          <w:trHeight w:val="240"/>
        </w:trPr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INDICACIONES</w:t>
            </w:r>
          </w:p>
        </w:tc>
        <w:tc>
          <w:tcPr>
            <w:tcW w:w="6120" w:type="dxa"/>
          </w:tcPr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CONTRAINDICACIONES</w:t>
            </w:r>
          </w:p>
        </w:tc>
        <w:tc>
          <w:tcPr>
            <w:tcW w:w="6120" w:type="dxa"/>
          </w:tcPr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ADVERTÈNCIES 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  <w:sz w:val="18"/>
                <w:szCs w:val="18"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 </w:t>
            </w:r>
            <w:r>
              <w:rPr>
                <w:rFonts w:ascii="Source Code Pro" w:eastAsia="Source Code Pro" w:hAnsi="Source Code Pro" w:cs="Source Code Pro"/>
                <w:b/>
                <w:i/>
                <w:color w:val="333333"/>
                <w:sz w:val="18"/>
                <w:szCs w:val="18"/>
                <w:highlight w:val="white"/>
              </w:rPr>
              <w:t xml:space="preserve">Se debe evitar el uso concomitante de </w:t>
            </w:r>
            <w:proofErr w:type="spellStart"/>
            <w:r>
              <w:rPr>
                <w:rFonts w:ascii="Source Code Pro" w:eastAsia="Source Code Pro" w:hAnsi="Source Code Pro" w:cs="Source Code Pro"/>
                <w:b/>
                <w:i/>
                <w:color w:val="333333"/>
                <w:sz w:val="18"/>
                <w:szCs w:val="18"/>
                <w:highlight w:val="white"/>
              </w:rPr>
              <w:t>mebendazol</w:t>
            </w:r>
            <w:proofErr w:type="spellEnd"/>
            <w:r>
              <w:rPr>
                <w:rFonts w:ascii="Source Code Pro" w:eastAsia="Source Code Pro" w:hAnsi="Source Code Pro" w:cs="Source Code Pro"/>
                <w:b/>
                <w:i/>
                <w:color w:val="333333"/>
                <w:sz w:val="18"/>
                <w:szCs w:val="18"/>
                <w:highlight w:val="white"/>
              </w:rPr>
              <w:t xml:space="preserve"> y </w:t>
            </w:r>
            <w:proofErr w:type="spellStart"/>
            <w:r>
              <w:rPr>
                <w:rFonts w:ascii="Source Code Pro" w:eastAsia="Source Code Pro" w:hAnsi="Source Code Pro" w:cs="Source Code Pro"/>
                <w:b/>
                <w:i/>
                <w:color w:val="333333"/>
                <w:sz w:val="18"/>
                <w:szCs w:val="18"/>
                <w:highlight w:val="white"/>
              </w:rPr>
              <w:t>metronidazol</w:t>
            </w:r>
            <w:proofErr w:type="spellEnd"/>
            <w:r>
              <w:rPr>
                <w:rFonts w:ascii="Source Code Pro" w:eastAsia="Source Code Pro" w:hAnsi="Source Code Pro" w:cs="Source Code Pro"/>
                <w:b/>
                <w:i/>
                <w:color w:val="333333"/>
                <w:sz w:val="18"/>
                <w:szCs w:val="18"/>
                <w:highlight w:val="white"/>
              </w:rPr>
              <w:t xml:space="preserve">. Los resultados de un estudio de casos y controles en el que se investigó un brote de Síndrome Stevens-Johnson/ </w:t>
            </w:r>
            <w:proofErr w:type="spellStart"/>
            <w:r>
              <w:rPr>
                <w:rFonts w:ascii="Source Code Pro" w:eastAsia="Source Code Pro" w:hAnsi="Source Code Pro" w:cs="Source Code Pro"/>
                <w:b/>
                <w:i/>
                <w:color w:val="333333"/>
                <w:sz w:val="18"/>
                <w:szCs w:val="18"/>
                <w:highlight w:val="white"/>
              </w:rPr>
              <w:t>necrólisis</w:t>
            </w:r>
            <w:proofErr w:type="spellEnd"/>
            <w:r>
              <w:rPr>
                <w:rFonts w:ascii="Source Code Pro" w:eastAsia="Source Code Pro" w:hAnsi="Source Code Pro" w:cs="Source Code Pro"/>
                <w:b/>
                <w:i/>
                <w:color w:val="333333"/>
                <w:sz w:val="18"/>
                <w:szCs w:val="18"/>
                <w:highlight w:val="white"/>
              </w:rPr>
              <w:t xml:space="preserve"> epidérmica tóxica sugirieron una posible relación entre Síndrome Stev</w:t>
            </w:r>
            <w:r>
              <w:rPr>
                <w:rFonts w:ascii="Source Code Pro" w:eastAsia="Source Code Pro" w:hAnsi="Source Code Pro" w:cs="Source Code Pro"/>
                <w:b/>
                <w:i/>
                <w:color w:val="333333"/>
                <w:sz w:val="18"/>
                <w:szCs w:val="18"/>
                <w:highlight w:val="white"/>
              </w:rPr>
              <w:t xml:space="preserve">ens-Johnson/ </w:t>
            </w:r>
            <w:proofErr w:type="spellStart"/>
            <w:r>
              <w:rPr>
                <w:rFonts w:ascii="Source Code Pro" w:eastAsia="Source Code Pro" w:hAnsi="Source Code Pro" w:cs="Source Code Pro"/>
                <w:b/>
                <w:i/>
                <w:color w:val="333333"/>
                <w:sz w:val="18"/>
                <w:szCs w:val="18"/>
                <w:highlight w:val="white"/>
              </w:rPr>
              <w:t>necrólisis</w:t>
            </w:r>
            <w:proofErr w:type="spellEnd"/>
            <w:r>
              <w:rPr>
                <w:rFonts w:ascii="Source Code Pro" w:eastAsia="Source Code Pro" w:hAnsi="Source Code Pro" w:cs="Source Code Pro"/>
                <w:b/>
                <w:i/>
                <w:color w:val="333333"/>
                <w:sz w:val="18"/>
                <w:szCs w:val="18"/>
                <w:highlight w:val="white"/>
              </w:rPr>
              <w:t xml:space="preserve"> epidérmica tóxica (ver sección 4.8) y el uso concomitante de </w:t>
            </w:r>
            <w:proofErr w:type="spellStart"/>
            <w:r>
              <w:rPr>
                <w:rFonts w:ascii="Source Code Pro" w:eastAsia="Source Code Pro" w:hAnsi="Source Code Pro" w:cs="Source Code Pro"/>
                <w:b/>
                <w:i/>
                <w:color w:val="333333"/>
                <w:sz w:val="18"/>
                <w:szCs w:val="18"/>
                <w:highlight w:val="white"/>
              </w:rPr>
              <w:t>mebendazol</w:t>
            </w:r>
            <w:proofErr w:type="spellEnd"/>
            <w:r>
              <w:rPr>
                <w:rFonts w:ascii="Source Code Pro" w:eastAsia="Source Code Pro" w:hAnsi="Source Code Pro" w:cs="Source Code Pro"/>
                <w:b/>
                <w:i/>
                <w:color w:val="333333"/>
                <w:sz w:val="18"/>
                <w:szCs w:val="18"/>
                <w:highlight w:val="white"/>
              </w:rPr>
              <w:t xml:space="preserve"> y </w:t>
            </w:r>
            <w:proofErr w:type="spellStart"/>
            <w:r>
              <w:rPr>
                <w:rFonts w:ascii="Source Code Pro" w:eastAsia="Source Code Pro" w:hAnsi="Source Code Pro" w:cs="Source Code Pro"/>
                <w:b/>
                <w:i/>
                <w:color w:val="333333"/>
                <w:sz w:val="18"/>
                <w:szCs w:val="18"/>
                <w:highlight w:val="white"/>
              </w:rPr>
              <w:t>metronidazol</w:t>
            </w:r>
            <w:proofErr w:type="spellEnd"/>
            <w:r>
              <w:rPr>
                <w:rFonts w:ascii="Source Code Pro" w:eastAsia="Source Code Pro" w:hAnsi="Source Code Pro" w:cs="Source Code Pro"/>
                <w:b/>
                <w:i/>
                <w:color w:val="333333"/>
                <w:sz w:val="18"/>
                <w:szCs w:val="18"/>
                <w:highlight w:val="white"/>
              </w:rPr>
              <w:t>.</w:t>
            </w: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LACTÀNCIA I EMBARÀS</w:t>
            </w:r>
          </w:p>
        </w:tc>
        <w:tc>
          <w:tcPr>
            <w:tcW w:w="6120" w:type="dxa"/>
          </w:tcPr>
          <w:p w:rsidR="00EA5542" w:rsidRDefault="003246F7">
            <w:pPr>
              <w:spacing w:line="289" w:lineRule="auto"/>
              <w:rPr>
                <w:rFonts w:ascii="Arial" w:eastAsia="Arial" w:hAnsi="Arial" w:cs="Arial"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t xml:space="preserve">Se deben valorar los posibles riesgos asociados con la prescripción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t>Lomper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t xml:space="preserve"> durante el embarazo, especialmente durante el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t xml:space="preserve"> primer trimestre, frente a los beneficios terapéuticos esperados.</w:t>
            </w:r>
          </w:p>
          <w:p w:rsidR="00EA5542" w:rsidRDefault="003246F7">
            <w:pPr>
              <w:spacing w:line="289" w:lineRule="auto"/>
              <w:rPr>
                <w:rFonts w:ascii="Arial" w:eastAsia="Arial" w:hAnsi="Arial" w:cs="Arial"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t xml:space="preserve">Se desconoce 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t>mebendazol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t xml:space="preserve">/metabolitos se excreta en la leche materna. Por este motivo, se debe tener precaución al administrar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t>Lomper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t xml:space="preserve"> a mujeres lactantes.</w:t>
            </w:r>
          </w:p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INTERACCIONES</w:t>
            </w:r>
          </w:p>
        </w:tc>
        <w:tc>
          <w:tcPr>
            <w:tcW w:w="6120" w:type="dxa"/>
          </w:tcPr>
          <w:p w:rsidR="00EA5542" w:rsidRDefault="003246F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Se debe evitar el</w:t>
            </w:r>
            <w:r>
              <w:rPr>
                <w:rFonts w:ascii="Arial" w:eastAsia="Arial" w:hAnsi="Arial" w:cs="Arial"/>
                <w:b/>
                <w:i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uso concomitante</w:t>
            </w:r>
            <w:r>
              <w:rPr>
                <w:rFonts w:ascii="Arial" w:eastAsia="Arial" w:hAnsi="Arial" w:cs="Arial"/>
                <w:b/>
                <w:i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mebendazol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metronidazol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 xml:space="preserve"> (ver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sección.Cimetidina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 xml:space="preserve"> podría inhibir el metabolismo hepático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mebendazol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 xml:space="preserve">, lo que implicaría un incremento de los niveles plasmáticos de este medicamento. Por tanto,  en este último caso se recomienda determinar los niveles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 xml:space="preserve">plasmáticos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>mebendazol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</w:rPr>
              <w:t xml:space="preserve"> con el fin de ajustar la dosis adecuadamente</w:t>
            </w:r>
          </w:p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</w:tbl>
    <w:p w:rsidR="00EA5542" w:rsidRDefault="003246F7">
      <w:pPr>
        <w:rPr>
          <w:rFonts w:ascii="Impact" w:eastAsia="Impact" w:hAnsi="Impact" w:cs="Impact"/>
        </w:rPr>
      </w:pPr>
      <w:r>
        <w:rPr>
          <w:rFonts w:ascii="Impact" w:eastAsia="Impact" w:hAnsi="Impact" w:cs="Impact"/>
          <w:i/>
        </w:rPr>
        <w:t>FARMACIOLA PER A CAMP DE REFUGIATS</w:t>
      </w:r>
    </w:p>
    <w:p w:rsidR="00EA5542" w:rsidRDefault="00EA5542">
      <w:pPr>
        <w:widowControl w:val="0"/>
        <w:spacing w:after="0"/>
        <w:rPr>
          <w:rFonts w:ascii="Arial" w:eastAsia="Arial" w:hAnsi="Arial" w:cs="Arial"/>
        </w:rPr>
      </w:pPr>
    </w:p>
    <w:p w:rsidR="00EA5542" w:rsidRDefault="00EA5542">
      <w:pPr>
        <w:widowControl w:val="0"/>
        <w:spacing w:after="0"/>
        <w:rPr>
          <w:rFonts w:ascii="Arial" w:eastAsia="Arial" w:hAnsi="Arial" w:cs="Arial"/>
        </w:rPr>
      </w:pPr>
    </w:p>
    <w:p w:rsidR="00EA5542" w:rsidRDefault="00EA5542">
      <w:pPr>
        <w:widowControl w:val="0"/>
        <w:spacing w:after="0"/>
        <w:rPr>
          <w:rFonts w:ascii="Arial" w:eastAsia="Arial" w:hAnsi="Arial" w:cs="Arial"/>
        </w:rPr>
      </w:pPr>
    </w:p>
    <w:p w:rsidR="00EA5542" w:rsidRDefault="00EA5542">
      <w:pPr>
        <w:widowControl w:val="0"/>
        <w:spacing w:after="0"/>
        <w:rPr>
          <w:rFonts w:ascii="Arial" w:eastAsia="Arial" w:hAnsi="Arial" w:cs="Arial"/>
        </w:rPr>
      </w:pPr>
    </w:p>
    <w:p w:rsidR="00EA5542" w:rsidRDefault="00EA5542">
      <w:pPr>
        <w:widowControl w:val="0"/>
        <w:spacing w:after="0"/>
        <w:rPr>
          <w:rFonts w:ascii="Arial" w:eastAsia="Arial" w:hAnsi="Arial" w:cs="Arial"/>
        </w:rPr>
      </w:pPr>
    </w:p>
    <w:p w:rsidR="00EA5542" w:rsidRDefault="00EA5542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3"/>
        <w:tblW w:w="8130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6120"/>
      </w:tblGrid>
      <w:tr w:rsidR="00EA5542">
        <w:tc>
          <w:tcPr>
            <w:tcW w:w="8130" w:type="dxa"/>
            <w:gridSpan w:val="2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             </w:t>
            </w: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CODI N. 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Montserrat" w:eastAsia="Montserrat" w:hAnsi="Montserrat" w:cs="Montserrat"/>
                <w:b/>
                <w:i/>
                <w:color w:val="4175B4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EA5542">
        <w:trPr>
          <w:trHeight w:val="240"/>
        </w:trPr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CÓDIGO ATC</w:t>
            </w:r>
          </w:p>
        </w:tc>
        <w:tc>
          <w:tcPr>
            <w:tcW w:w="6120" w:type="dxa"/>
          </w:tcPr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CLASSIFICACIÓ TERAPÈUTICA</w:t>
            </w:r>
          </w:p>
        </w:tc>
        <w:tc>
          <w:tcPr>
            <w:tcW w:w="6120" w:type="dxa"/>
          </w:tcPr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PRINCIPI ACTIU</w:t>
            </w:r>
          </w:p>
        </w:tc>
        <w:tc>
          <w:tcPr>
            <w:tcW w:w="6120" w:type="dxa"/>
          </w:tcPr>
          <w:p w:rsidR="00EA5542" w:rsidRDefault="00EA5542">
            <w:pPr>
              <w:spacing w:after="160"/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</w:pPr>
          </w:p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PRESENTACIÓ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Roboto" w:eastAsia="Roboto" w:hAnsi="Roboto" w:cs="Roboto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A5542">
        <w:trPr>
          <w:trHeight w:val="240"/>
        </w:trPr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INDICACIONES</w:t>
            </w:r>
          </w:p>
        </w:tc>
        <w:tc>
          <w:tcPr>
            <w:tcW w:w="6120" w:type="dxa"/>
          </w:tcPr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CONTRAINDICACIONES</w:t>
            </w:r>
          </w:p>
        </w:tc>
        <w:tc>
          <w:tcPr>
            <w:tcW w:w="6120" w:type="dxa"/>
          </w:tcPr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ADVERTÈNCIES </w:t>
            </w:r>
          </w:p>
        </w:tc>
        <w:tc>
          <w:tcPr>
            <w:tcW w:w="612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 xml:space="preserve"> </w:t>
            </w: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LACTÀNCIA I EMBARÀS</w:t>
            </w:r>
          </w:p>
        </w:tc>
        <w:tc>
          <w:tcPr>
            <w:tcW w:w="6120" w:type="dxa"/>
          </w:tcPr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  <w:sz w:val="20"/>
                <w:szCs w:val="20"/>
              </w:rPr>
            </w:pPr>
          </w:p>
        </w:tc>
      </w:tr>
      <w:tr w:rsidR="00EA5542">
        <w:tc>
          <w:tcPr>
            <w:tcW w:w="2010" w:type="dxa"/>
          </w:tcPr>
          <w:p w:rsidR="00EA5542" w:rsidRDefault="003246F7">
            <w:pPr>
              <w:rPr>
                <w:rFonts w:ascii="Source Code Pro" w:eastAsia="Source Code Pro" w:hAnsi="Source Code Pro" w:cs="Source Code Pro"/>
                <w:b/>
                <w:i/>
              </w:rPr>
            </w:pPr>
            <w:r>
              <w:rPr>
                <w:rFonts w:ascii="Source Code Pro" w:eastAsia="Source Code Pro" w:hAnsi="Source Code Pro" w:cs="Source Code Pro"/>
                <w:b/>
                <w:i/>
              </w:rPr>
              <w:t>INTERACCIONES</w:t>
            </w:r>
          </w:p>
        </w:tc>
        <w:tc>
          <w:tcPr>
            <w:tcW w:w="6120" w:type="dxa"/>
          </w:tcPr>
          <w:p w:rsidR="00EA5542" w:rsidRDefault="00EA5542">
            <w:pPr>
              <w:rPr>
                <w:rFonts w:ascii="Source Code Pro" w:eastAsia="Source Code Pro" w:hAnsi="Source Code Pro" w:cs="Source Code Pro"/>
                <w:b/>
                <w:i/>
              </w:rPr>
            </w:pPr>
          </w:p>
        </w:tc>
      </w:tr>
    </w:tbl>
    <w:p w:rsidR="00EA5542" w:rsidRDefault="003246F7">
      <w:pPr>
        <w:rPr>
          <w:rFonts w:ascii="Impact" w:eastAsia="Impact" w:hAnsi="Impact" w:cs="Impact"/>
        </w:rPr>
      </w:pPr>
      <w:bookmarkStart w:id="11" w:name="_gjdgxs" w:colFirst="0" w:colLast="0"/>
      <w:bookmarkEnd w:id="11"/>
      <w:r>
        <w:rPr>
          <w:rFonts w:ascii="Impact" w:eastAsia="Impact" w:hAnsi="Impact" w:cs="Impact"/>
          <w:i/>
        </w:rPr>
        <w:t>FARMACIOLA PER A CAMP DE REFUGIATS</w:t>
      </w:r>
    </w:p>
    <w:p w:rsidR="00EA5542" w:rsidRDefault="00EA5542">
      <w:pPr>
        <w:rPr>
          <w:rFonts w:ascii="Impact" w:eastAsia="Impact" w:hAnsi="Impact" w:cs="Impact"/>
          <w:i/>
        </w:rPr>
      </w:pPr>
      <w:bookmarkStart w:id="12" w:name="_8yqejg17g20k" w:colFirst="0" w:colLast="0"/>
      <w:bookmarkEnd w:id="12"/>
    </w:p>
    <w:sectPr w:rsidR="00EA554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ource Code Pro"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1BD"/>
    <w:multiLevelType w:val="multilevel"/>
    <w:tmpl w:val="6CFC63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D495E1C"/>
    <w:multiLevelType w:val="multilevel"/>
    <w:tmpl w:val="58AC1046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color w:val="4277B8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FF14CEE"/>
    <w:multiLevelType w:val="multilevel"/>
    <w:tmpl w:val="FA4A921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DD9204A"/>
    <w:multiLevelType w:val="multilevel"/>
    <w:tmpl w:val="C79E87F2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color w:val="4277B8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9F92665"/>
    <w:multiLevelType w:val="multilevel"/>
    <w:tmpl w:val="55B44E52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color w:val="4277B8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A5542"/>
    <w:rsid w:val="003246F7"/>
    <w:rsid w:val="00EA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professors</dc:creator>
  <cp:lastModifiedBy>professors</cp:lastModifiedBy>
  <cp:revision>2</cp:revision>
  <dcterms:created xsi:type="dcterms:W3CDTF">2019-05-13T13:44:00Z</dcterms:created>
  <dcterms:modified xsi:type="dcterms:W3CDTF">2019-05-13T13:44:00Z</dcterms:modified>
</cp:coreProperties>
</file>