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Hipertensión:</w:t>
      </w:r>
    </w:p>
    <w:p w:rsidR="00000000" w:rsidDel="00000000" w:rsidP="00000000" w:rsidRDefault="00000000" w:rsidRPr="00000000" w14:paraId="00000002">
      <w:pPr>
        <w:rPr>
          <w:rFonts w:ascii="Times New Roman" w:cs="Times New Roman" w:eastAsia="Times New Roman" w:hAnsi="Times New Roman"/>
          <w:b w:val="1"/>
          <w:color w:val="333333"/>
          <w:sz w:val="36"/>
          <w:szCs w:val="36"/>
          <w:highlight w:val="white"/>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color w:val="333333"/>
          <w:sz w:val="36"/>
          <w:szCs w:val="36"/>
          <w:highlight w:val="white"/>
        </w:rPr>
      </w:pPr>
      <w:r w:rsidDel="00000000" w:rsidR="00000000" w:rsidRPr="00000000">
        <w:rPr>
          <w:rFonts w:ascii="Times New Roman" w:cs="Times New Roman" w:eastAsia="Times New Roman" w:hAnsi="Times New Roman"/>
          <w:b w:val="1"/>
          <w:color w:val="333333"/>
          <w:sz w:val="36"/>
          <w:szCs w:val="36"/>
          <w:highlight w:val="white"/>
          <w:rtl w:val="0"/>
        </w:rPr>
        <w:t xml:space="preserve">Espino albar</w:t>
      </w:r>
      <w:r w:rsidDel="00000000" w:rsidR="00000000" w:rsidRPr="00000000">
        <w:drawing>
          <wp:anchor allowOverlap="1" behindDoc="0" distB="114300" distT="114300" distL="114300" distR="114300" hidden="0" layoutInCell="1" locked="0" relativeHeight="0" simplePos="0">
            <wp:simplePos x="0" y="0"/>
            <wp:positionH relativeFrom="column">
              <wp:posOffset>2914650</wp:posOffset>
            </wp:positionH>
            <wp:positionV relativeFrom="paragraph">
              <wp:posOffset>419100</wp:posOffset>
            </wp:positionV>
            <wp:extent cx="3395663" cy="1841563"/>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395663" cy="1841563"/>
                    </a:xfrm>
                    <a:prstGeom prst="rect"/>
                    <a:ln/>
                  </pic:spPr>
                </pic:pic>
              </a:graphicData>
            </a:graphic>
          </wp:anchor>
        </w:drawing>
      </w:r>
    </w:p>
    <w:p w:rsidR="00000000" w:rsidDel="00000000" w:rsidP="00000000" w:rsidRDefault="00000000" w:rsidRPr="00000000" w14:paraId="00000004">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Por qué es útil</w:t>
      </w:r>
      <w:r w:rsidDel="00000000" w:rsidR="00000000" w:rsidRPr="00000000">
        <w:rPr>
          <w:rFonts w:ascii="Times New Roman" w:cs="Times New Roman" w:eastAsia="Times New Roman" w:hAnsi="Times New Roman"/>
          <w:color w:val="333333"/>
          <w:sz w:val="24"/>
          <w:szCs w:val="24"/>
          <w:highlight w:val="white"/>
          <w:rtl w:val="0"/>
        </w:rPr>
        <w:t xml:space="preserve">: regula la tensión arterial y el ritmo cardiaco.</w:t>
      </w:r>
    </w:p>
    <w:p w:rsidR="00000000" w:rsidDel="00000000" w:rsidP="00000000" w:rsidRDefault="00000000" w:rsidRPr="00000000" w14:paraId="00000005">
      <w:pPr>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Qué parte se usa</w:t>
      </w:r>
      <w:r w:rsidDel="00000000" w:rsidR="00000000" w:rsidRPr="00000000">
        <w:rPr>
          <w:rFonts w:ascii="Times New Roman" w:cs="Times New Roman" w:eastAsia="Times New Roman" w:hAnsi="Times New Roman"/>
          <w:color w:val="333333"/>
          <w:sz w:val="24"/>
          <w:szCs w:val="24"/>
          <w:highlight w:val="white"/>
          <w:rtl w:val="0"/>
        </w:rPr>
        <w:t xml:space="preserve">: las hojas y las flores, frescas o secas.</w:t>
      </w:r>
    </w:p>
    <w:p w:rsidR="00000000" w:rsidDel="00000000" w:rsidP="00000000" w:rsidRDefault="00000000" w:rsidRPr="00000000" w14:paraId="00000007">
      <w:pPr>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Pruébalo así</w:t>
      </w:r>
      <w:r w:rsidDel="00000000" w:rsidR="00000000" w:rsidRPr="00000000">
        <w:rPr>
          <w:rFonts w:ascii="Times New Roman" w:cs="Times New Roman" w:eastAsia="Times New Roman" w:hAnsi="Times New Roman"/>
          <w:color w:val="333333"/>
          <w:sz w:val="24"/>
          <w:szCs w:val="24"/>
          <w:highlight w:val="white"/>
          <w:rtl w:val="0"/>
        </w:rPr>
        <w:t xml:space="preserve">: en infusión solo o con melisa, olivo, ortosifón y limón, 1 o 2 tazas diarias. O en extracto líquido, 30 gotas en tres tomas.</w:t>
      </w:r>
    </w:p>
    <w:p w:rsidR="00000000" w:rsidDel="00000000" w:rsidP="00000000" w:rsidRDefault="00000000" w:rsidRPr="00000000" w14:paraId="000000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color w:val="99cc00"/>
          <w:sz w:val="24"/>
          <w:szCs w:val="24"/>
          <w:highlight w:val="white"/>
        </w:rPr>
      </w:pPr>
      <w:bookmarkStart w:colFirst="0" w:colLast="0" w:name="_dc4o01m8zzaf" w:id="0"/>
      <w:bookmarkEnd w:id="0"/>
      <w:r w:rsidDel="00000000" w:rsidR="00000000" w:rsidRPr="00000000">
        <w:rPr>
          <w:rtl w:val="0"/>
        </w:rPr>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color w:val="99cc00"/>
          <w:sz w:val="24"/>
          <w:szCs w:val="24"/>
          <w:highlight w:val="white"/>
        </w:rPr>
      </w:pPr>
      <w:bookmarkStart w:colFirst="0" w:colLast="0" w:name="_qm6tlbh5zybd" w:id="1"/>
      <w:bookmarkEnd w:id="1"/>
      <w:r w:rsidDel="00000000" w:rsidR="00000000" w:rsidRPr="00000000">
        <w:rPr>
          <w:rFonts w:ascii="Times New Roman" w:cs="Times New Roman" w:eastAsia="Times New Roman" w:hAnsi="Times New Roman"/>
          <w:color w:val="99cc00"/>
          <w:sz w:val="24"/>
          <w:szCs w:val="24"/>
          <w:highlight w:val="white"/>
          <w:rtl w:val="0"/>
        </w:rPr>
        <w:t xml:space="preserve">Contraindicaciones del espino blanco</w:t>
      </w:r>
    </w:p>
    <w:p w:rsidR="00000000" w:rsidDel="00000000" w:rsidP="00000000" w:rsidRDefault="00000000" w:rsidRPr="00000000" w14:paraId="0000000B">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tomar en etapa de embarazo o lactancia</w:t>
      </w:r>
    </w:p>
    <w:p w:rsidR="00000000" w:rsidDel="00000000" w:rsidP="00000000" w:rsidRDefault="00000000" w:rsidRPr="00000000" w14:paraId="0000000C">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 le debe de administrar a los niños sin previa supervisión del médico.</w:t>
      </w:r>
    </w:p>
    <w:p w:rsidR="00000000" w:rsidDel="00000000" w:rsidP="00000000" w:rsidRDefault="00000000" w:rsidRPr="00000000" w14:paraId="0000000D">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Personas que consumen benzodiacepinas o heteróxidos cardiotónicos no deben de tomar espino blanco.</w:t>
      </w:r>
    </w:p>
    <w:p w:rsidR="00000000" w:rsidDel="00000000" w:rsidP="00000000" w:rsidRDefault="00000000" w:rsidRPr="00000000" w14:paraId="0000000E">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color w:val="333333"/>
          <w:sz w:val="33"/>
          <w:szCs w:val="33"/>
          <w:highlight w:val="white"/>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36"/>
          <w:szCs w:val="36"/>
          <w:highlight w:val="white"/>
        </w:rPr>
      </w:pPr>
      <w:r w:rsidDel="00000000" w:rsidR="00000000" w:rsidRPr="00000000">
        <w:rPr>
          <w:rFonts w:ascii="Times New Roman" w:cs="Times New Roman" w:eastAsia="Times New Roman" w:hAnsi="Times New Roman"/>
          <w:b w:val="1"/>
          <w:sz w:val="36"/>
          <w:szCs w:val="36"/>
          <w:highlight w:val="white"/>
          <w:rtl w:val="0"/>
        </w:rPr>
        <w:t xml:space="preserve">Enebro</w:t>
      </w:r>
    </w:p>
    <w:p w:rsidR="00000000" w:rsidDel="00000000" w:rsidP="00000000" w:rsidRDefault="00000000" w:rsidRPr="00000000" w14:paraId="00000011">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Por qué es útil</w:t>
      </w:r>
      <w:r w:rsidDel="00000000" w:rsidR="00000000" w:rsidRPr="00000000">
        <w:rPr>
          <w:rFonts w:ascii="Times New Roman" w:cs="Times New Roman" w:eastAsia="Times New Roman" w:hAnsi="Times New Roman"/>
          <w:color w:val="333333"/>
          <w:sz w:val="24"/>
          <w:szCs w:val="24"/>
          <w:highlight w:val="white"/>
          <w:rtl w:val="0"/>
        </w:rPr>
        <w:t xml:space="preserve">: es diurético, depurativo y ayuda a mantener a raya la tensión sanguínea.</w:t>
      </w:r>
    </w:p>
    <w:p w:rsidR="00000000" w:rsidDel="00000000" w:rsidP="00000000" w:rsidRDefault="00000000" w:rsidRPr="00000000" w14:paraId="00000012">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Qué parte se usa</w:t>
      </w:r>
      <w:r w:rsidDel="00000000" w:rsidR="00000000" w:rsidRPr="00000000">
        <w:rPr>
          <w:rFonts w:ascii="Times New Roman" w:cs="Times New Roman" w:eastAsia="Times New Roman" w:hAnsi="Times New Roman"/>
          <w:color w:val="333333"/>
          <w:sz w:val="24"/>
          <w:szCs w:val="24"/>
          <w:highlight w:val="white"/>
          <w:rtl w:val="0"/>
        </w:rPr>
        <w:t xml:space="preserve">: los frutos.</w:t>
      </w:r>
      <w:r w:rsidDel="00000000" w:rsidR="00000000" w:rsidRPr="00000000">
        <w:drawing>
          <wp:anchor allowOverlap="1" behindDoc="0" distB="114300" distT="114300" distL="114300" distR="114300" hidden="0" layoutInCell="1" locked="0" relativeHeight="0" simplePos="0">
            <wp:simplePos x="0" y="0"/>
            <wp:positionH relativeFrom="column">
              <wp:posOffset>2915068</wp:posOffset>
            </wp:positionH>
            <wp:positionV relativeFrom="paragraph">
              <wp:posOffset>190500</wp:posOffset>
            </wp:positionV>
            <wp:extent cx="2818982" cy="1709738"/>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18982" cy="1709738"/>
                    </a:xfrm>
                    <a:prstGeom prst="rect"/>
                    <a:ln/>
                  </pic:spPr>
                </pic:pic>
              </a:graphicData>
            </a:graphic>
          </wp:anchor>
        </w:drawing>
      </w:r>
    </w:p>
    <w:p w:rsidR="00000000" w:rsidDel="00000000" w:rsidP="00000000" w:rsidRDefault="00000000" w:rsidRPr="00000000" w14:paraId="00000014">
      <w:pPr>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Pruébalo así</w:t>
      </w:r>
      <w:r w:rsidDel="00000000" w:rsidR="00000000" w:rsidRPr="00000000">
        <w:rPr>
          <w:rFonts w:ascii="Times New Roman" w:cs="Times New Roman" w:eastAsia="Times New Roman" w:hAnsi="Times New Roman"/>
          <w:color w:val="333333"/>
          <w:sz w:val="24"/>
          <w:szCs w:val="24"/>
          <w:highlight w:val="white"/>
          <w:rtl w:val="0"/>
        </w:rPr>
        <w:t xml:space="preserve">: en decocción, con hojas de abedul, cola de caballo e hinojo, 1 o 2 tazas al día.</w:t>
      </w:r>
    </w:p>
    <w:p w:rsidR="00000000" w:rsidDel="00000000" w:rsidP="00000000" w:rsidRDefault="00000000" w:rsidRPr="00000000" w14:paraId="00000016">
      <w:pPr>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01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12" w:lineRule="auto"/>
        <w:jc w:val="both"/>
        <w:rPr>
          <w:rFonts w:ascii="Times New Roman" w:cs="Times New Roman" w:eastAsia="Times New Roman" w:hAnsi="Times New Roman"/>
          <w:b w:val="1"/>
          <w:color w:val="0000ff"/>
          <w:sz w:val="24"/>
          <w:szCs w:val="24"/>
          <w:highlight w:val="white"/>
          <w:u w:val="single"/>
        </w:rPr>
      </w:pPr>
      <w:bookmarkStart w:colFirst="0" w:colLast="0" w:name="_oev3enlpf5od" w:id="2"/>
      <w:bookmarkEnd w:id="2"/>
      <w:r w:rsidDel="00000000" w:rsidR="00000000" w:rsidRPr="00000000">
        <w:rPr>
          <w:rFonts w:ascii="Times New Roman" w:cs="Times New Roman" w:eastAsia="Times New Roman" w:hAnsi="Times New Roman"/>
          <w:b w:val="1"/>
          <w:color w:val="0000ff"/>
          <w:sz w:val="24"/>
          <w:szCs w:val="24"/>
          <w:highlight w:val="white"/>
          <w:u w:val="single"/>
          <w:rtl w:val="0"/>
        </w:rPr>
        <w:t xml:space="preserve">Contraindicaciones</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30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El enebro sólo debe usarse durante períodos cortos de tiempo. Las dosis elevadas o el uso prolongado del enebro pueden irritar los riñones y el tracto urinario, lesionándolos. Las personas con problemas renales no deben emplear esta planta. El enebro estimula las contracciones del útero. Las mujeres embarazadas no deben tomar enebro, al igual que los lactantes.</w:t>
      </w:r>
    </w:p>
    <w:p w:rsidR="00000000" w:rsidDel="00000000" w:rsidP="00000000" w:rsidRDefault="00000000" w:rsidRPr="00000000" w14:paraId="00000019">
      <w:pPr>
        <w:rPr>
          <w:rFonts w:ascii="Times New Roman" w:cs="Times New Roman" w:eastAsia="Times New Roman" w:hAnsi="Times New Roman"/>
          <w:b w:val="1"/>
          <w:color w:val="333333"/>
          <w:sz w:val="28"/>
          <w:szCs w:val="28"/>
          <w:highlight w:val="whit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color w:val="333333"/>
          <w:sz w:val="28"/>
          <w:szCs w:val="28"/>
          <w:highlight w:val="whit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color w:val="333333"/>
          <w:sz w:val="28"/>
          <w:szCs w:val="28"/>
          <w:highlight w:val="white"/>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color w:val="333333"/>
          <w:sz w:val="28"/>
          <w:szCs w:val="28"/>
          <w:highlight w:val="whit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color w:val="333333"/>
          <w:sz w:val="36"/>
          <w:szCs w:val="36"/>
          <w:highlight w:val="white"/>
        </w:rPr>
      </w:pPr>
      <w:r w:rsidDel="00000000" w:rsidR="00000000" w:rsidRPr="00000000">
        <w:rPr>
          <w:rFonts w:ascii="Times New Roman" w:cs="Times New Roman" w:eastAsia="Times New Roman" w:hAnsi="Times New Roman"/>
          <w:b w:val="1"/>
          <w:color w:val="333333"/>
          <w:sz w:val="36"/>
          <w:szCs w:val="36"/>
          <w:highlight w:val="white"/>
          <w:rtl w:val="0"/>
        </w:rPr>
        <w:t xml:space="preserve">Sanguinaria azul          </w:t>
      </w:r>
    </w:p>
    <w:p w:rsidR="00000000" w:rsidDel="00000000" w:rsidP="00000000" w:rsidRDefault="00000000" w:rsidRPr="00000000" w14:paraId="0000001E">
      <w:pPr>
        <w:rPr>
          <w:rFonts w:ascii="Times New Roman" w:cs="Times New Roman" w:eastAsia="Times New Roman" w:hAnsi="Times New Roman"/>
          <w:b w:val="1"/>
          <w:color w:val="333333"/>
          <w:sz w:val="36"/>
          <w:szCs w:val="36"/>
          <w:highlight w:val="white"/>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Por qué es útil</w:t>
      </w:r>
      <w:r w:rsidDel="00000000" w:rsidR="00000000" w:rsidRPr="00000000">
        <w:rPr>
          <w:rFonts w:ascii="Times New Roman" w:cs="Times New Roman" w:eastAsia="Times New Roman" w:hAnsi="Times New Roman"/>
          <w:color w:val="333333"/>
          <w:sz w:val="24"/>
          <w:szCs w:val="24"/>
          <w:highlight w:val="white"/>
          <w:rtl w:val="0"/>
        </w:rPr>
        <w:t xml:space="preserve">: Popularmente se le atribuye acción diurética, depurativa, hipotensora, antirreumática, anticatarral, depurativa y cicatrizante.</w:t>
      </w:r>
    </w:p>
    <w:p w:rsidR="00000000" w:rsidDel="00000000" w:rsidP="00000000" w:rsidRDefault="00000000" w:rsidRPr="00000000" w14:paraId="00000020">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Qué parte se usa</w:t>
      </w:r>
      <w:r w:rsidDel="00000000" w:rsidR="00000000" w:rsidRPr="00000000">
        <w:rPr>
          <w:rFonts w:ascii="Times New Roman" w:cs="Times New Roman" w:eastAsia="Times New Roman" w:hAnsi="Times New Roman"/>
          <w:color w:val="333333"/>
          <w:sz w:val="24"/>
          <w:szCs w:val="24"/>
          <w:highlight w:val="white"/>
          <w:rtl w:val="0"/>
        </w:rPr>
        <w:t xml:space="preserve">: las sumidades floridas.</w:t>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238125</wp:posOffset>
            </wp:positionV>
            <wp:extent cx="3196136" cy="2309813"/>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8"/>
                    <a:srcRect b="4166" l="0" r="0" t="0"/>
                    <a:stretch>
                      <a:fillRect/>
                    </a:stretch>
                  </pic:blipFill>
                  <pic:spPr>
                    <a:xfrm>
                      <a:off x="0" y="0"/>
                      <a:ext cx="3196136" cy="2309813"/>
                    </a:xfrm>
                    <a:prstGeom prst="rect"/>
                    <a:ln/>
                  </pic:spPr>
                </pic:pic>
              </a:graphicData>
            </a:graphic>
          </wp:anchor>
        </w:drawing>
      </w:r>
    </w:p>
    <w:p w:rsidR="00000000" w:rsidDel="00000000" w:rsidP="00000000" w:rsidRDefault="00000000" w:rsidRPr="00000000" w14:paraId="00000022">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3">
      <w:pPr>
        <w:pStyle w:val="Heading5"/>
        <w:keepNext w:val="0"/>
        <w:keepLines w:val="0"/>
        <w:shd w:fill="ffffff" w:val="clear"/>
        <w:spacing w:after="160" w:before="80" w:line="360" w:lineRule="auto"/>
        <w:rPr>
          <w:rFonts w:ascii="Times New Roman" w:cs="Times New Roman" w:eastAsia="Times New Roman" w:hAnsi="Times New Roman"/>
          <w:b w:val="1"/>
          <w:color w:val="333333"/>
          <w:sz w:val="24"/>
          <w:szCs w:val="24"/>
          <w:highlight w:val="white"/>
        </w:rPr>
      </w:pPr>
      <w:bookmarkStart w:colFirst="0" w:colLast="0" w:name="_h1uzhejuqq5z" w:id="3"/>
      <w:bookmarkEnd w:id="3"/>
      <w:r w:rsidDel="00000000" w:rsidR="00000000" w:rsidRPr="00000000">
        <w:rPr>
          <w:rFonts w:ascii="Times New Roman" w:cs="Times New Roman" w:eastAsia="Times New Roman" w:hAnsi="Times New Roman"/>
          <w:b w:val="1"/>
          <w:color w:val="333333"/>
          <w:sz w:val="24"/>
          <w:szCs w:val="24"/>
          <w:highlight w:val="white"/>
          <w:rtl w:val="0"/>
        </w:rPr>
        <w:t xml:space="preserve">Indicaciones / recomendaciones</w:t>
      </w:r>
    </w:p>
    <w:p w:rsidR="00000000" w:rsidDel="00000000" w:rsidP="00000000" w:rsidRDefault="00000000" w:rsidRPr="00000000" w14:paraId="00000024">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Tradicionalmente se ha utilizado para el tratamiento de afecciones urinarias (oliguria), prevención o tratamiento de la litiasis renal, coadyuvante en el tratamiento de la hipertensión, reumatismo.</w:t>
      </w:r>
    </w:p>
    <w:p w:rsidR="00000000" w:rsidDel="00000000" w:rsidP="00000000" w:rsidRDefault="00000000" w:rsidRPr="00000000" w14:paraId="00000025">
      <w:pPr>
        <w:pStyle w:val="Heading5"/>
        <w:keepNext w:val="0"/>
        <w:keepLines w:val="0"/>
        <w:shd w:fill="ffffff" w:val="clear"/>
        <w:spacing w:after="160" w:before="80" w:line="360" w:lineRule="auto"/>
        <w:rPr>
          <w:rFonts w:ascii="Times New Roman" w:cs="Times New Roman" w:eastAsia="Times New Roman" w:hAnsi="Times New Roman"/>
          <w:b w:val="1"/>
          <w:color w:val="333333"/>
          <w:sz w:val="24"/>
          <w:szCs w:val="24"/>
          <w:highlight w:val="white"/>
        </w:rPr>
      </w:pPr>
      <w:bookmarkStart w:colFirst="0" w:colLast="0" w:name="_lrbyc18422re" w:id="4"/>
      <w:bookmarkEnd w:id="4"/>
      <w:r w:rsidDel="00000000" w:rsidR="00000000" w:rsidRPr="00000000">
        <w:rPr>
          <w:rFonts w:ascii="Times New Roman" w:cs="Times New Roman" w:eastAsia="Times New Roman" w:hAnsi="Times New Roman"/>
          <w:b w:val="1"/>
          <w:color w:val="333333"/>
          <w:sz w:val="24"/>
          <w:szCs w:val="24"/>
          <w:highlight w:val="white"/>
          <w:rtl w:val="0"/>
        </w:rPr>
        <w:t xml:space="preserve">Posología / modo de empleo</w:t>
      </w:r>
    </w:p>
    <w:p w:rsidR="00000000" w:rsidDel="00000000" w:rsidP="00000000" w:rsidRDefault="00000000" w:rsidRPr="00000000" w14:paraId="00000026">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Uso popular, por vía interna, en forma de infusión (1 cucharada de postre por taza), 3-6 tazas al día. Para uso externo: 30 a 50 g/L, hervir 5 minutos, aplicada en forma de lociones o compresas.</w:t>
      </w:r>
    </w:p>
    <w:p w:rsidR="00000000" w:rsidDel="00000000" w:rsidP="00000000" w:rsidRDefault="00000000" w:rsidRPr="00000000" w14:paraId="00000027">
      <w:pPr>
        <w:pStyle w:val="Heading5"/>
        <w:keepNext w:val="0"/>
        <w:keepLines w:val="0"/>
        <w:shd w:fill="ffffff" w:val="clear"/>
        <w:spacing w:after="160" w:before="80" w:line="360" w:lineRule="auto"/>
        <w:rPr>
          <w:rFonts w:ascii="Times New Roman" w:cs="Times New Roman" w:eastAsia="Times New Roman" w:hAnsi="Times New Roman"/>
          <w:b w:val="1"/>
          <w:color w:val="333333"/>
          <w:sz w:val="24"/>
          <w:szCs w:val="24"/>
          <w:highlight w:val="white"/>
        </w:rPr>
      </w:pPr>
      <w:bookmarkStart w:colFirst="0" w:colLast="0" w:name="_w4jewsumtbqh" w:id="5"/>
      <w:bookmarkEnd w:id="5"/>
      <w:r w:rsidDel="00000000" w:rsidR="00000000" w:rsidRPr="00000000">
        <w:rPr>
          <w:rFonts w:ascii="Times New Roman" w:cs="Times New Roman" w:eastAsia="Times New Roman" w:hAnsi="Times New Roman"/>
          <w:b w:val="1"/>
          <w:color w:val="333333"/>
          <w:sz w:val="24"/>
          <w:szCs w:val="24"/>
          <w:highlight w:val="white"/>
          <w:rtl w:val="0"/>
        </w:rPr>
        <w:t xml:space="preserve">Precauciones</w:t>
      </w:r>
    </w:p>
    <w:p w:rsidR="00000000" w:rsidDel="00000000" w:rsidP="00000000" w:rsidRDefault="00000000" w:rsidRPr="00000000" w14:paraId="00000028">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La sanguinaria no debe usarse durante el embarazo y lactancia, debido a la ausencia de datos que avalen su seguridad.</w:t>
      </w:r>
    </w:p>
    <w:p w:rsidR="00000000" w:rsidDel="00000000" w:rsidP="00000000" w:rsidRDefault="00000000" w:rsidRPr="00000000" w14:paraId="00000029">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A">
      <w:pPr>
        <w:jc w:val="left"/>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02B">
      <w:pPr>
        <w:jc w:val="left"/>
        <w:rPr>
          <w:rFonts w:ascii="Verdana" w:cs="Verdana" w:eastAsia="Verdana" w:hAnsi="Verdana"/>
          <w:b w:val="1"/>
          <w:color w:val="333333"/>
          <w:sz w:val="33"/>
          <w:szCs w:val="33"/>
          <w:highlight w:val="white"/>
        </w:rPr>
      </w:pPr>
      <w:r w:rsidDel="00000000" w:rsidR="00000000" w:rsidRPr="00000000">
        <w:rPr>
          <w:rtl w:val="0"/>
        </w:rPr>
      </w:r>
    </w:p>
    <w:p w:rsidR="00000000" w:rsidDel="00000000" w:rsidP="00000000" w:rsidRDefault="00000000" w:rsidRPr="00000000" w14:paraId="0000002C">
      <w:pPr>
        <w:jc w:val="left"/>
        <w:rPr>
          <w:rFonts w:ascii="Verdana" w:cs="Verdana" w:eastAsia="Verdana" w:hAnsi="Verdana"/>
          <w:b w:val="1"/>
          <w:color w:val="333333"/>
          <w:sz w:val="33"/>
          <w:szCs w:val="33"/>
          <w:highlight w:val="white"/>
        </w:rPr>
      </w:pPr>
      <w:r w:rsidDel="00000000" w:rsidR="00000000" w:rsidRPr="00000000">
        <w:rPr>
          <w:rtl w:val="0"/>
        </w:rPr>
      </w:r>
    </w:p>
    <w:p w:rsidR="00000000" w:rsidDel="00000000" w:rsidP="00000000" w:rsidRDefault="00000000" w:rsidRPr="00000000" w14:paraId="0000002D">
      <w:pPr>
        <w:jc w:val="left"/>
        <w:rPr>
          <w:rFonts w:ascii="Verdana" w:cs="Verdana" w:eastAsia="Verdana" w:hAnsi="Verdana"/>
          <w:b w:val="1"/>
          <w:color w:val="333333"/>
          <w:sz w:val="33"/>
          <w:szCs w:val="33"/>
          <w:highlight w:val="white"/>
        </w:rPr>
      </w:pPr>
      <w:r w:rsidDel="00000000" w:rsidR="00000000" w:rsidRPr="00000000">
        <w:rPr>
          <w:rtl w:val="0"/>
        </w:rPr>
      </w:r>
    </w:p>
    <w:p w:rsidR="00000000" w:rsidDel="00000000" w:rsidP="00000000" w:rsidRDefault="00000000" w:rsidRPr="00000000" w14:paraId="0000002E">
      <w:pPr>
        <w:jc w:val="left"/>
        <w:rPr>
          <w:rFonts w:ascii="Verdana" w:cs="Verdana" w:eastAsia="Verdana" w:hAnsi="Verdana"/>
          <w:b w:val="1"/>
          <w:color w:val="333333"/>
          <w:sz w:val="33"/>
          <w:szCs w:val="33"/>
          <w:highlight w:val="white"/>
        </w:rPr>
      </w:pPr>
      <w:r w:rsidDel="00000000" w:rsidR="00000000" w:rsidRPr="00000000">
        <w:rPr>
          <w:rtl w:val="0"/>
        </w:rPr>
      </w:r>
    </w:p>
    <w:p w:rsidR="00000000" w:rsidDel="00000000" w:rsidP="00000000" w:rsidRDefault="00000000" w:rsidRPr="00000000" w14:paraId="0000002F">
      <w:pPr>
        <w:jc w:val="left"/>
        <w:rPr>
          <w:rFonts w:ascii="Verdana" w:cs="Verdana" w:eastAsia="Verdana" w:hAnsi="Verdana"/>
          <w:b w:val="1"/>
          <w:color w:val="333333"/>
          <w:sz w:val="33"/>
          <w:szCs w:val="33"/>
          <w:highlight w:val="white"/>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b w:val="1"/>
          <w:color w:val="333333"/>
          <w:sz w:val="48"/>
          <w:szCs w:val="48"/>
          <w:highlight w:val="white"/>
        </w:rPr>
      </w:pPr>
      <w:r w:rsidDel="00000000" w:rsidR="00000000" w:rsidRPr="00000000">
        <w:rPr>
          <w:rFonts w:ascii="Times New Roman" w:cs="Times New Roman" w:eastAsia="Times New Roman" w:hAnsi="Times New Roman"/>
          <w:b w:val="1"/>
          <w:color w:val="333333"/>
          <w:sz w:val="48"/>
          <w:szCs w:val="48"/>
          <w:highlight w:val="white"/>
          <w:rtl w:val="0"/>
        </w:rPr>
        <w:t xml:space="preserve">Circulación:</w:t>
      </w:r>
    </w:p>
    <w:p w:rsidR="00000000" w:rsidDel="00000000" w:rsidP="00000000" w:rsidRDefault="00000000" w:rsidRPr="00000000" w14:paraId="00000031">
      <w:pPr>
        <w:jc w:val="center"/>
        <w:rPr>
          <w:rFonts w:ascii="Times New Roman" w:cs="Times New Roman" w:eastAsia="Times New Roman" w:hAnsi="Times New Roman"/>
          <w:b w:val="1"/>
          <w:color w:val="333333"/>
          <w:sz w:val="48"/>
          <w:szCs w:val="48"/>
          <w:highlight w:val="white"/>
        </w:rPr>
      </w:pPr>
      <w:r w:rsidDel="00000000" w:rsidR="00000000" w:rsidRPr="00000000">
        <w:rPr>
          <w:rtl w:val="0"/>
        </w:rPr>
      </w:r>
    </w:p>
    <w:p w:rsidR="00000000" w:rsidDel="00000000" w:rsidP="00000000" w:rsidRDefault="00000000" w:rsidRPr="00000000" w14:paraId="00000032">
      <w:pPr>
        <w:jc w:val="left"/>
        <w:rPr>
          <w:rFonts w:ascii="Times New Roman" w:cs="Times New Roman" w:eastAsia="Times New Roman" w:hAnsi="Times New Roman"/>
          <w:b w:val="1"/>
          <w:color w:val="343a40"/>
          <w:sz w:val="36"/>
          <w:szCs w:val="36"/>
          <w:highlight w:val="white"/>
        </w:rPr>
      </w:pPr>
      <w:r w:rsidDel="00000000" w:rsidR="00000000" w:rsidRPr="00000000">
        <w:rPr>
          <w:rFonts w:ascii="Times New Roman" w:cs="Times New Roman" w:eastAsia="Times New Roman" w:hAnsi="Times New Roman"/>
          <w:b w:val="1"/>
          <w:color w:val="343a40"/>
          <w:sz w:val="36"/>
          <w:szCs w:val="36"/>
          <w:highlight w:val="white"/>
          <w:rtl w:val="0"/>
        </w:rPr>
        <w:t xml:space="preserve">Vid roja (Vitis vinífera L.)</w:t>
      </w:r>
    </w:p>
    <w:p w:rsidR="00000000" w:rsidDel="00000000" w:rsidP="00000000" w:rsidRDefault="00000000" w:rsidRPr="00000000" w14:paraId="00000033">
      <w:pPr>
        <w:jc w:val="right"/>
        <w:rPr>
          <w:rFonts w:ascii="Times New Roman" w:cs="Times New Roman" w:eastAsia="Times New Roman" w:hAnsi="Times New Roman"/>
          <w:b w:val="1"/>
          <w:color w:val="343a40"/>
          <w:highlight w:val="white"/>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color w:val="343a40"/>
          <w:sz w:val="24"/>
          <w:szCs w:val="24"/>
          <w:highlight w:val="white"/>
        </w:rPr>
      </w:pPr>
      <w:r w:rsidDel="00000000" w:rsidR="00000000" w:rsidRPr="00000000">
        <w:rPr>
          <w:rFonts w:ascii="Times New Roman" w:cs="Times New Roman" w:eastAsia="Times New Roman" w:hAnsi="Times New Roman"/>
          <w:color w:val="343a40"/>
          <w:sz w:val="24"/>
          <w:szCs w:val="24"/>
          <w:highlight w:val="white"/>
          <w:rtl w:val="0"/>
        </w:rPr>
        <w:t xml:space="preserve">La vid roja –originaria del sur de Europa y oeste de Asia– es un arbusto trepador con un gran número de variedades.</w:t>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628650</wp:posOffset>
            </wp:positionV>
            <wp:extent cx="3248025" cy="20859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248025" cy="2085975"/>
                    </a:xfrm>
                    <a:prstGeom prst="rect"/>
                    <a:ln/>
                  </pic:spPr>
                </pic:pic>
              </a:graphicData>
            </a:graphic>
          </wp:anchor>
        </w:drawing>
      </w:r>
    </w:p>
    <w:p w:rsidR="00000000" w:rsidDel="00000000" w:rsidP="00000000" w:rsidRDefault="00000000" w:rsidRPr="00000000" w14:paraId="00000035">
      <w:pPr>
        <w:rPr>
          <w:rFonts w:ascii="Times New Roman" w:cs="Times New Roman" w:eastAsia="Times New Roman" w:hAnsi="Times New Roman"/>
          <w:b w:val="1"/>
          <w:color w:val="343a40"/>
          <w:sz w:val="24"/>
          <w:szCs w:val="24"/>
          <w:highlight w:val="white"/>
        </w:rPr>
      </w:pPr>
      <w:r w:rsidDel="00000000" w:rsidR="00000000" w:rsidRPr="00000000">
        <w:rPr>
          <w:rFonts w:ascii="Times New Roman" w:cs="Times New Roman" w:eastAsia="Times New Roman" w:hAnsi="Times New Roman"/>
          <w:b w:val="1"/>
          <w:color w:val="343a40"/>
          <w:sz w:val="24"/>
          <w:szCs w:val="24"/>
          <w:highlight w:val="white"/>
          <w:rtl w:val="0"/>
        </w:rPr>
        <w:t xml:space="preserve">Composición</w:t>
      </w:r>
    </w:p>
    <w:p w:rsidR="00000000" w:rsidDel="00000000" w:rsidP="00000000" w:rsidRDefault="00000000" w:rsidRPr="00000000" w14:paraId="00000036">
      <w:pPr>
        <w:numPr>
          <w:ilvl w:val="0"/>
          <w:numId w:val="1"/>
        </w:numPr>
        <w:ind w:left="720" w:hanging="360"/>
        <w:rPr>
          <w:rFonts w:ascii="Times New Roman" w:cs="Times New Roman" w:eastAsia="Times New Roman" w:hAnsi="Times New Roman"/>
          <w:color w:val="343a40"/>
          <w:sz w:val="24"/>
          <w:szCs w:val="24"/>
          <w:highlight w:val="white"/>
          <w:u w:val="none"/>
        </w:rPr>
      </w:pPr>
      <w:r w:rsidDel="00000000" w:rsidR="00000000" w:rsidRPr="00000000">
        <w:rPr>
          <w:rFonts w:ascii="Times New Roman" w:cs="Times New Roman" w:eastAsia="Times New Roman" w:hAnsi="Times New Roman"/>
          <w:b w:val="1"/>
          <w:color w:val="343a40"/>
          <w:sz w:val="24"/>
          <w:szCs w:val="24"/>
          <w:highlight w:val="white"/>
          <w:rtl w:val="0"/>
        </w:rPr>
        <w:t xml:space="preserve">Las hojas </w:t>
      </w:r>
      <w:r w:rsidDel="00000000" w:rsidR="00000000" w:rsidRPr="00000000">
        <w:rPr>
          <w:rFonts w:ascii="Times New Roman" w:cs="Times New Roman" w:eastAsia="Times New Roman" w:hAnsi="Times New Roman"/>
          <w:color w:val="343a40"/>
          <w:sz w:val="24"/>
          <w:szCs w:val="24"/>
          <w:highlight w:val="white"/>
          <w:rtl w:val="0"/>
        </w:rPr>
        <w:t xml:space="preserve">de las llamadas cepas tintoreras,  contienen </w:t>
      </w:r>
      <w:r w:rsidDel="00000000" w:rsidR="00000000" w:rsidRPr="00000000">
        <w:rPr>
          <w:rFonts w:ascii="Times New Roman" w:cs="Times New Roman" w:eastAsia="Times New Roman" w:hAnsi="Times New Roman"/>
          <w:b w:val="1"/>
          <w:color w:val="343a40"/>
          <w:sz w:val="24"/>
          <w:szCs w:val="24"/>
          <w:highlight w:val="white"/>
          <w:rtl w:val="0"/>
        </w:rPr>
        <w:t xml:space="preserve">antocianósidos </w:t>
      </w:r>
      <w:r w:rsidDel="00000000" w:rsidR="00000000" w:rsidRPr="00000000">
        <w:rPr>
          <w:rFonts w:ascii="Times New Roman" w:cs="Times New Roman" w:eastAsia="Times New Roman" w:hAnsi="Times New Roman"/>
          <w:color w:val="343a40"/>
          <w:sz w:val="24"/>
          <w:szCs w:val="24"/>
          <w:highlight w:val="white"/>
          <w:rtl w:val="0"/>
        </w:rPr>
        <w:t xml:space="preserve">(glucósidos del cianidol y del peonidol) y </w:t>
      </w:r>
      <w:r w:rsidDel="00000000" w:rsidR="00000000" w:rsidRPr="00000000">
        <w:rPr>
          <w:rFonts w:ascii="Times New Roman" w:cs="Times New Roman" w:eastAsia="Times New Roman" w:hAnsi="Times New Roman"/>
          <w:b w:val="1"/>
          <w:color w:val="343a40"/>
          <w:sz w:val="24"/>
          <w:szCs w:val="24"/>
          <w:highlight w:val="white"/>
          <w:rtl w:val="0"/>
        </w:rPr>
        <w:t xml:space="preserve">polifenoles </w:t>
      </w:r>
      <w:r w:rsidDel="00000000" w:rsidR="00000000" w:rsidRPr="00000000">
        <w:rPr>
          <w:rFonts w:ascii="Times New Roman" w:cs="Times New Roman" w:eastAsia="Times New Roman" w:hAnsi="Times New Roman"/>
          <w:color w:val="343a40"/>
          <w:sz w:val="24"/>
          <w:szCs w:val="24"/>
          <w:highlight w:val="white"/>
          <w:rtl w:val="0"/>
        </w:rPr>
        <w:t xml:space="preserve">(ácidos fenoles, flavonoides, taninos hidrolizables y proantocianidoles).</w:t>
      </w:r>
    </w:p>
    <w:p w:rsidR="00000000" w:rsidDel="00000000" w:rsidP="00000000" w:rsidRDefault="00000000" w:rsidRPr="00000000" w14:paraId="00000037">
      <w:pPr>
        <w:numPr>
          <w:ilvl w:val="0"/>
          <w:numId w:val="1"/>
        </w:numPr>
        <w:ind w:left="720" w:hanging="360"/>
        <w:rPr>
          <w:rFonts w:ascii="Times New Roman" w:cs="Times New Roman" w:eastAsia="Times New Roman" w:hAnsi="Times New Roman"/>
          <w:color w:val="343a40"/>
          <w:sz w:val="24"/>
          <w:szCs w:val="24"/>
          <w:highlight w:val="white"/>
          <w:u w:val="none"/>
        </w:rPr>
      </w:pPr>
      <w:r w:rsidDel="00000000" w:rsidR="00000000" w:rsidRPr="00000000">
        <w:rPr>
          <w:rFonts w:ascii="Times New Roman" w:cs="Times New Roman" w:eastAsia="Times New Roman" w:hAnsi="Times New Roman"/>
          <w:b w:val="1"/>
          <w:color w:val="343a40"/>
          <w:sz w:val="24"/>
          <w:szCs w:val="24"/>
          <w:highlight w:val="white"/>
          <w:rtl w:val="0"/>
        </w:rPr>
        <w:t xml:space="preserve">Las semillas, </w:t>
      </w:r>
      <w:r w:rsidDel="00000000" w:rsidR="00000000" w:rsidRPr="00000000">
        <w:rPr>
          <w:rFonts w:ascii="Times New Roman" w:cs="Times New Roman" w:eastAsia="Times New Roman" w:hAnsi="Times New Roman"/>
          <w:color w:val="343a40"/>
          <w:sz w:val="24"/>
          <w:szCs w:val="24"/>
          <w:highlight w:val="white"/>
          <w:rtl w:val="0"/>
        </w:rPr>
        <w:t xml:space="preserve">se encuentran </w:t>
      </w:r>
      <w:r w:rsidDel="00000000" w:rsidR="00000000" w:rsidRPr="00000000">
        <w:rPr>
          <w:rFonts w:ascii="Times New Roman" w:cs="Times New Roman" w:eastAsia="Times New Roman" w:hAnsi="Times New Roman"/>
          <w:b w:val="1"/>
          <w:color w:val="343a40"/>
          <w:sz w:val="24"/>
          <w:szCs w:val="24"/>
          <w:highlight w:val="white"/>
          <w:rtl w:val="0"/>
        </w:rPr>
        <w:t xml:space="preserve">proantocianidoles</w:t>
      </w:r>
      <w:r w:rsidDel="00000000" w:rsidR="00000000" w:rsidRPr="00000000">
        <w:rPr>
          <w:rFonts w:ascii="Times New Roman" w:cs="Times New Roman" w:eastAsia="Times New Roman" w:hAnsi="Times New Roman"/>
          <w:color w:val="343a40"/>
          <w:sz w:val="24"/>
          <w:szCs w:val="24"/>
          <w:highlight w:val="white"/>
          <w:rtl w:val="0"/>
        </w:rPr>
        <w:t xml:space="preserve"> derivados de la catequina y epicatequina y lípidos, con un 15-20 por ciento de ácidos grasos insaturados. Las acciones farmacológicas, tanto del extracto de la semilla como de la hoja, se han atribuido a las proantocianidoles y a los antocianósidos.</w:t>
      </w:r>
    </w:p>
    <w:p w:rsidR="00000000" w:rsidDel="00000000" w:rsidP="00000000" w:rsidRDefault="00000000" w:rsidRPr="00000000" w14:paraId="00000038">
      <w:pPr>
        <w:numPr>
          <w:ilvl w:val="0"/>
          <w:numId w:val="1"/>
        </w:numPr>
        <w:ind w:left="720" w:hanging="360"/>
        <w:rPr>
          <w:rFonts w:ascii="Times New Roman" w:cs="Times New Roman" w:eastAsia="Times New Roman" w:hAnsi="Times New Roman"/>
          <w:color w:val="343a40"/>
          <w:sz w:val="24"/>
          <w:szCs w:val="24"/>
          <w:highlight w:val="white"/>
          <w:u w:val="none"/>
        </w:rPr>
      </w:pPr>
      <w:r w:rsidDel="00000000" w:rsidR="00000000" w:rsidRPr="00000000">
        <w:rPr>
          <w:rFonts w:ascii="Times New Roman" w:cs="Times New Roman" w:eastAsia="Times New Roman" w:hAnsi="Times New Roman"/>
          <w:b w:val="1"/>
          <w:color w:val="343a40"/>
          <w:sz w:val="24"/>
          <w:szCs w:val="24"/>
          <w:highlight w:val="white"/>
          <w:rtl w:val="0"/>
        </w:rPr>
        <w:t xml:space="preserve">El extracto de semillas de uva</w:t>
      </w:r>
      <w:r w:rsidDel="00000000" w:rsidR="00000000" w:rsidRPr="00000000">
        <w:rPr>
          <w:rFonts w:ascii="Times New Roman" w:cs="Times New Roman" w:eastAsia="Times New Roman" w:hAnsi="Times New Roman"/>
          <w:color w:val="343a40"/>
          <w:sz w:val="24"/>
          <w:szCs w:val="24"/>
          <w:highlight w:val="white"/>
          <w:rtl w:val="0"/>
        </w:rPr>
        <w:t xml:space="preserve"> ha mostrado</w:t>
      </w:r>
      <w:r w:rsidDel="00000000" w:rsidR="00000000" w:rsidRPr="00000000">
        <w:rPr>
          <w:rFonts w:ascii="Times New Roman" w:cs="Times New Roman" w:eastAsia="Times New Roman" w:hAnsi="Times New Roman"/>
          <w:b w:val="1"/>
          <w:color w:val="343a40"/>
          <w:sz w:val="24"/>
          <w:szCs w:val="24"/>
          <w:highlight w:val="white"/>
          <w:rtl w:val="0"/>
        </w:rPr>
        <w:t xml:space="preserve"> actividad vasoprotectora</w:t>
      </w:r>
      <w:r w:rsidDel="00000000" w:rsidR="00000000" w:rsidRPr="00000000">
        <w:rPr>
          <w:rFonts w:ascii="Times New Roman" w:cs="Times New Roman" w:eastAsia="Times New Roman" w:hAnsi="Times New Roman"/>
          <w:color w:val="343a40"/>
          <w:sz w:val="24"/>
          <w:szCs w:val="24"/>
          <w:highlight w:val="white"/>
          <w:rtl w:val="0"/>
        </w:rPr>
        <w:t xml:space="preserve"> y actúa estabilizando la pared capilar y disminuyendo su permeabilidad.</w:t>
      </w:r>
    </w:p>
    <w:p w:rsidR="00000000" w:rsidDel="00000000" w:rsidP="00000000" w:rsidRDefault="00000000" w:rsidRPr="00000000" w14:paraId="00000039">
      <w:pPr>
        <w:ind w:left="0" w:firstLine="0"/>
        <w:rPr>
          <w:rFonts w:ascii="Times New Roman" w:cs="Times New Roman" w:eastAsia="Times New Roman" w:hAnsi="Times New Roman"/>
          <w:color w:val="343a40"/>
          <w:sz w:val="24"/>
          <w:szCs w:val="24"/>
          <w:highlight w:val="white"/>
        </w:rPr>
      </w:pPr>
      <w:r w:rsidDel="00000000" w:rsidR="00000000" w:rsidRPr="00000000">
        <w:rPr>
          <w:rFonts w:ascii="Times New Roman" w:cs="Times New Roman" w:eastAsia="Times New Roman" w:hAnsi="Times New Roman"/>
          <w:b w:val="1"/>
          <w:color w:val="343a40"/>
          <w:sz w:val="24"/>
          <w:szCs w:val="24"/>
          <w:highlight w:val="white"/>
          <w:rtl w:val="0"/>
        </w:rPr>
        <w:t xml:space="preserve">Las acciones farmacológicas</w:t>
      </w:r>
      <w:r w:rsidDel="00000000" w:rsidR="00000000" w:rsidRPr="00000000">
        <w:rPr>
          <w:rtl w:val="0"/>
        </w:rPr>
      </w:r>
    </w:p>
    <w:p w:rsidR="00000000" w:rsidDel="00000000" w:rsidP="00000000" w:rsidRDefault="00000000" w:rsidRPr="00000000" w14:paraId="0000003A">
      <w:pPr>
        <w:ind w:left="0" w:firstLine="0"/>
        <w:rPr>
          <w:rFonts w:ascii="Times New Roman" w:cs="Times New Roman" w:eastAsia="Times New Roman" w:hAnsi="Times New Roman"/>
          <w:color w:val="343a40"/>
          <w:sz w:val="24"/>
          <w:szCs w:val="24"/>
          <w:highlight w:val="white"/>
        </w:rPr>
      </w:pPr>
      <w:r w:rsidDel="00000000" w:rsidR="00000000" w:rsidRPr="00000000">
        <w:rPr>
          <w:rFonts w:ascii="Times New Roman" w:cs="Times New Roman" w:eastAsia="Times New Roman" w:hAnsi="Times New Roman"/>
          <w:color w:val="343a40"/>
          <w:sz w:val="24"/>
          <w:szCs w:val="24"/>
          <w:highlight w:val="white"/>
          <w:rtl w:val="0"/>
        </w:rPr>
        <w:t xml:space="preserve">Tanto del extracto de la semilla como de la hoja, se han atribuido a las proantocianidoles y a los antocianósidos.</w:t>
      </w:r>
    </w:p>
    <w:p w:rsidR="00000000" w:rsidDel="00000000" w:rsidP="00000000" w:rsidRDefault="00000000" w:rsidRPr="00000000" w14:paraId="0000003B">
      <w:pPr>
        <w:ind w:left="0" w:firstLine="0"/>
        <w:rPr>
          <w:rFonts w:ascii="Times New Roman" w:cs="Times New Roman" w:eastAsia="Times New Roman" w:hAnsi="Times New Roman"/>
          <w:color w:val="343a40"/>
          <w:sz w:val="24"/>
          <w:szCs w:val="24"/>
          <w:highlight w:val="white"/>
        </w:rPr>
      </w:pPr>
      <w:r w:rsidDel="00000000" w:rsidR="00000000" w:rsidRPr="00000000">
        <w:rPr>
          <w:rFonts w:ascii="Times New Roman" w:cs="Times New Roman" w:eastAsia="Times New Roman" w:hAnsi="Times New Roman"/>
          <w:color w:val="343a40"/>
          <w:sz w:val="24"/>
          <w:szCs w:val="24"/>
          <w:highlight w:val="white"/>
          <w:rtl w:val="0"/>
        </w:rPr>
        <w:t xml:space="preserve">En esta acción interviene su </w:t>
      </w:r>
      <w:r w:rsidDel="00000000" w:rsidR="00000000" w:rsidRPr="00000000">
        <w:rPr>
          <w:rFonts w:ascii="Times New Roman" w:cs="Times New Roman" w:eastAsia="Times New Roman" w:hAnsi="Times New Roman"/>
          <w:b w:val="1"/>
          <w:color w:val="343a40"/>
          <w:sz w:val="24"/>
          <w:szCs w:val="24"/>
          <w:highlight w:val="white"/>
          <w:rtl w:val="0"/>
        </w:rPr>
        <w:t xml:space="preserve">poder antioxidante</w:t>
      </w:r>
      <w:r w:rsidDel="00000000" w:rsidR="00000000" w:rsidRPr="00000000">
        <w:rPr>
          <w:rFonts w:ascii="Times New Roman" w:cs="Times New Roman" w:eastAsia="Times New Roman" w:hAnsi="Times New Roman"/>
          <w:color w:val="343a40"/>
          <w:sz w:val="24"/>
          <w:szCs w:val="24"/>
          <w:highlight w:val="white"/>
          <w:rtl w:val="0"/>
        </w:rPr>
        <w:t xml:space="preserve"> y su </w:t>
      </w:r>
      <w:r w:rsidDel="00000000" w:rsidR="00000000" w:rsidRPr="00000000">
        <w:rPr>
          <w:rFonts w:ascii="Times New Roman" w:cs="Times New Roman" w:eastAsia="Times New Roman" w:hAnsi="Times New Roman"/>
          <w:b w:val="1"/>
          <w:color w:val="343a40"/>
          <w:sz w:val="24"/>
          <w:szCs w:val="24"/>
          <w:highlight w:val="white"/>
          <w:rtl w:val="0"/>
        </w:rPr>
        <w:t xml:space="preserve">capacidad para estabilizar el colágeno</w:t>
      </w:r>
      <w:r w:rsidDel="00000000" w:rsidR="00000000" w:rsidRPr="00000000">
        <w:rPr>
          <w:rFonts w:ascii="Times New Roman" w:cs="Times New Roman" w:eastAsia="Times New Roman" w:hAnsi="Times New Roman"/>
          <w:color w:val="343a40"/>
          <w:sz w:val="24"/>
          <w:szCs w:val="24"/>
          <w:highlight w:val="white"/>
          <w:rtl w:val="0"/>
        </w:rPr>
        <w:t xml:space="preserve">. Se han realizado numerosos ensayos clínicos con </w:t>
      </w:r>
      <w:r w:rsidDel="00000000" w:rsidR="00000000" w:rsidRPr="00000000">
        <w:rPr>
          <w:rFonts w:ascii="Times New Roman" w:cs="Times New Roman" w:eastAsia="Times New Roman" w:hAnsi="Times New Roman"/>
          <w:b w:val="1"/>
          <w:color w:val="343a40"/>
          <w:sz w:val="24"/>
          <w:szCs w:val="24"/>
          <w:highlight w:val="white"/>
          <w:rtl w:val="0"/>
        </w:rPr>
        <w:t xml:space="preserve">resultados positivos en</w:t>
      </w:r>
      <w:r w:rsidDel="00000000" w:rsidR="00000000" w:rsidRPr="00000000">
        <w:rPr>
          <w:rFonts w:ascii="Times New Roman" w:cs="Times New Roman" w:eastAsia="Times New Roman" w:hAnsi="Times New Roman"/>
          <w:color w:val="343a40"/>
          <w:sz w:val="24"/>
          <w:szCs w:val="24"/>
          <w:highlight w:val="white"/>
          <w:rtl w:val="0"/>
        </w:rPr>
        <w:t xml:space="preserve"> la sintomatología de las</w:t>
      </w:r>
      <w:r w:rsidDel="00000000" w:rsidR="00000000" w:rsidRPr="00000000">
        <w:rPr>
          <w:rFonts w:ascii="Times New Roman" w:cs="Times New Roman" w:eastAsia="Times New Roman" w:hAnsi="Times New Roman"/>
          <w:b w:val="1"/>
          <w:color w:val="343a40"/>
          <w:sz w:val="24"/>
          <w:szCs w:val="24"/>
          <w:highlight w:val="white"/>
          <w:rtl w:val="0"/>
        </w:rPr>
        <w:t xml:space="preserve"> insuficiencias venosas periféricas</w:t>
      </w:r>
      <w:r w:rsidDel="00000000" w:rsidR="00000000" w:rsidRPr="00000000">
        <w:rPr>
          <w:rFonts w:ascii="Times New Roman" w:cs="Times New Roman" w:eastAsia="Times New Roman" w:hAnsi="Times New Roman"/>
          <w:color w:val="343a40"/>
          <w:sz w:val="24"/>
          <w:szCs w:val="24"/>
          <w:highlight w:val="white"/>
          <w:rtl w:val="0"/>
        </w:rPr>
        <w:t xml:space="preserve">, por lo que está indicada para las personas con p</w:t>
      </w:r>
      <w:r w:rsidDel="00000000" w:rsidR="00000000" w:rsidRPr="00000000">
        <w:rPr>
          <w:rFonts w:ascii="Times New Roman" w:cs="Times New Roman" w:eastAsia="Times New Roman" w:hAnsi="Times New Roman"/>
          <w:b w:val="1"/>
          <w:color w:val="343a40"/>
          <w:sz w:val="24"/>
          <w:szCs w:val="24"/>
          <w:highlight w:val="white"/>
          <w:rtl w:val="0"/>
        </w:rPr>
        <w:t xml:space="preserve">iernas cansadas, edemas y varices</w:t>
      </w:r>
      <w:r w:rsidDel="00000000" w:rsidR="00000000" w:rsidRPr="00000000">
        <w:rPr>
          <w:rFonts w:ascii="Times New Roman" w:cs="Times New Roman" w:eastAsia="Times New Roman" w:hAnsi="Times New Roman"/>
          <w:color w:val="343a40"/>
          <w:sz w:val="24"/>
          <w:szCs w:val="24"/>
          <w:highlight w:val="white"/>
          <w:rtl w:val="0"/>
        </w:rPr>
        <w:t xml:space="preserve">. No se han descrito contraindicaciones ni efectos secundarios.</w:t>
      </w:r>
    </w:p>
    <w:p w:rsidR="00000000" w:rsidDel="00000000" w:rsidP="00000000" w:rsidRDefault="00000000" w:rsidRPr="00000000" w14:paraId="0000003C">
      <w:pPr>
        <w:ind w:left="720" w:firstLine="0"/>
        <w:rPr>
          <w:rFonts w:ascii="Times New Roman" w:cs="Times New Roman" w:eastAsia="Times New Roman" w:hAnsi="Times New Roman"/>
          <w:color w:val="343a40"/>
          <w:sz w:val="24"/>
          <w:szCs w:val="24"/>
          <w:highlight w:val="white"/>
        </w:rPr>
      </w:pPr>
      <w:r w:rsidDel="00000000" w:rsidR="00000000" w:rsidRPr="00000000">
        <w:rPr>
          <w:rtl w:val="0"/>
        </w:rPr>
      </w:r>
    </w:p>
    <w:p w:rsidR="00000000" w:rsidDel="00000000" w:rsidP="00000000" w:rsidRDefault="00000000" w:rsidRPr="00000000" w14:paraId="0000003D">
      <w:pPr>
        <w:pStyle w:val="Heading3"/>
        <w:keepNext w:val="0"/>
        <w:keepLines w:val="0"/>
        <w:spacing w:after="460" w:before="680" w:line="288" w:lineRule="auto"/>
        <w:rPr>
          <w:rFonts w:ascii="Times New Roman" w:cs="Times New Roman" w:eastAsia="Times New Roman" w:hAnsi="Times New Roman"/>
          <w:b w:val="1"/>
          <w:color w:val="343a40"/>
          <w:sz w:val="36"/>
          <w:szCs w:val="36"/>
          <w:highlight w:val="white"/>
        </w:rPr>
      </w:pPr>
      <w:bookmarkStart w:colFirst="0" w:colLast="0" w:name="_kicx4ody0xpj" w:id="6"/>
      <w:bookmarkEnd w:id="6"/>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3"/>
        <w:keepNext w:val="0"/>
        <w:keepLines w:val="0"/>
        <w:spacing w:after="460" w:before="680" w:line="288" w:lineRule="auto"/>
        <w:rPr>
          <w:rFonts w:ascii="Times New Roman" w:cs="Times New Roman" w:eastAsia="Times New Roman" w:hAnsi="Times New Roman"/>
          <w:b w:val="1"/>
          <w:color w:val="343a40"/>
          <w:sz w:val="36"/>
          <w:szCs w:val="36"/>
          <w:highlight w:val="white"/>
        </w:rPr>
      </w:pPr>
      <w:bookmarkStart w:colFirst="0" w:colLast="0" w:name="_oe25u1nnqrzf" w:id="7"/>
      <w:bookmarkEnd w:id="7"/>
      <w:r w:rsidDel="00000000" w:rsidR="00000000" w:rsidRPr="00000000">
        <w:rPr>
          <w:rFonts w:ascii="Times New Roman" w:cs="Times New Roman" w:eastAsia="Times New Roman" w:hAnsi="Times New Roman"/>
          <w:b w:val="1"/>
          <w:color w:val="343a40"/>
          <w:sz w:val="36"/>
          <w:szCs w:val="36"/>
          <w:highlight w:val="white"/>
          <w:rtl w:val="0"/>
        </w:rPr>
        <w:t xml:space="preserve">Castaño de Indias (Aesculus hippocastanum L.)</w:t>
      </w:r>
    </w:p>
    <w:p w:rsidR="00000000" w:rsidDel="00000000" w:rsidP="00000000" w:rsidRDefault="00000000" w:rsidRPr="00000000" w14:paraId="00000040">
      <w:pPr>
        <w:pStyle w:val="Heading5"/>
        <w:keepNext w:val="0"/>
        <w:keepLines w:val="0"/>
        <w:shd w:fill="ffffff" w:val="clear"/>
        <w:spacing w:after="160" w:before="80" w:line="360" w:lineRule="auto"/>
        <w:rPr>
          <w:rFonts w:ascii="Times New Roman" w:cs="Times New Roman" w:eastAsia="Times New Roman" w:hAnsi="Times New Roman"/>
          <w:b w:val="1"/>
          <w:color w:val="333333"/>
          <w:sz w:val="24"/>
          <w:szCs w:val="24"/>
          <w:highlight w:val="white"/>
        </w:rPr>
      </w:pPr>
      <w:bookmarkStart w:colFirst="0" w:colLast="0" w:name="_vdnr0vwij3a8" w:id="8"/>
      <w:bookmarkEnd w:id="8"/>
      <w:r w:rsidDel="00000000" w:rsidR="00000000" w:rsidRPr="00000000">
        <w:rPr>
          <w:rFonts w:ascii="Times New Roman" w:cs="Times New Roman" w:eastAsia="Times New Roman" w:hAnsi="Times New Roman"/>
          <w:b w:val="1"/>
          <w:color w:val="333333"/>
          <w:sz w:val="24"/>
          <w:szCs w:val="24"/>
          <w:highlight w:val="white"/>
          <w:rtl w:val="0"/>
        </w:rPr>
        <w:t xml:space="preserve">Droga vegetal</w:t>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457200</wp:posOffset>
            </wp:positionV>
            <wp:extent cx="2451186" cy="2814638"/>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451186" cy="2814638"/>
                    </a:xfrm>
                    <a:prstGeom prst="rect"/>
                    <a:ln/>
                  </pic:spPr>
                </pic:pic>
              </a:graphicData>
            </a:graphic>
          </wp:anchor>
        </w:drawing>
      </w:r>
    </w:p>
    <w:p w:rsidR="00000000" w:rsidDel="00000000" w:rsidP="00000000" w:rsidRDefault="00000000" w:rsidRPr="00000000" w14:paraId="00000041">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Principalmente la semilla (Hippocastani semen). También la corteza (Hippocastani cortex) y, en medicina popular, la hoja (Hippocastani folium).</w:t>
      </w:r>
    </w:p>
    <w:p w:rsidR="00000000" w:rsidDel="00000000" w:rsidP="00000000" w:rsidRDefault="00000000" w:rsidRPr="00000000" w14:paraId="00000042">
      <w:pPr>
        <w:spacing w:after="620" w:before="380" w:line="360" w:lineRule="auto"/>
        <w:rPr>
          <w:rFonts w:ascii="Times New Roman" w:cs="Times New Roman" w:eastAsia="Times New Roman" w:hAnsi="Times New Roman"/>
          <w:color w:val="343a40"/>
          <w:sz w:val="24"/>
          <w:szCs w:val="24"/>
          <w:highlight w:val="white"/>
        </w:rPr>
      </w:pPr>
      <w:r w:rsidDel="00000000" w:rsidR="00000000" w:rsidRPr="00000000">
        <w:rPr>
          <w:rFonts w:ascii="Times New Roman" w:cs="Times New Roman" w:eastAsia="Times New Roman" w:hAnsi="Times New Roman"/>
          <w:b w:val="1"/>
          <w:color w:val="343a40"/>
          <w:sz w:val="24"/>
          <w:szCs w:val="24"/>
          <w:highlight w:val="white"/>
          <w:rtl w:val="0"/>
        </w:rPr>
        <w:t xml:space="preserve">Los activos</w:t>
      </w:r>
      <w:r w:rsidDel="00000000" w:rsidR="00000000" w:rsidRPr="00000000">
        <w:rPr>
          <w:rFonts w:ascii="Times New Roman" w:cs="Times New Roman" w:eastAsia="Times New Roman" w:hAnsi="Times New Roman"/>
          <w:color w:val="343a40"/>
          <w:sz w:val="24"/>
          <w:szCs w:val="24"/>
          <w:highlight w:val="white"/>
          <w:rtl w:val="0"/>
        </w:rPr>
        <w:t xml:space="preserve"> de las semillas </w:t>
      </w:r>
      <w:r w:rsidDel="00000000" w:rsidR="00000000" w:rsidRPr="00000000">
        <w:rPr>
          <w:rFonts w:ascii="Times New Roman" w:cs="Times New Roman" w:eastAsia="Times New Roman" w:hAnsi="Times New Roman"/>
          <w:b w:val="1"/>
          <w:color w:val="343a40"/>
          <w:sz w:val="24"/>
          <w:szCs w:val="24"/>
          <w:highlight w:val="white"/>
          <w:rtl w:val="0"/>
        </w:rPr>
        <w:t xml:space="preserve">son</w:t>
      </w:r>
      <w:r w:rsidDel="00000000" w:rsidR="00000000" w:rsidRPr="00000000">
        <w:rPr>
          <w:rFonts w:ascii="Times New Roman" w:cs="Times New Roman" w:eastAsia="Times New Roman" w:hAnsi="Times New Roman"/>
          <w:color w:val="343a40"/>
          <w:sz w:val="24"/>
          <w:szCs w:val="24"/>
          <w:highlight w:val="white"/>
          <w:rtl w:val="0"/>
        </w:rPr>
        <w:t xml:space="preserve"> saponósidos triterpénicos, de los que el más importante es la </w:t>
      </w:r>
      <w:r w:rsidDel="00000000" w:rsidR="00000000" w:rsidRPr="00000000">
        <w:rPr>
          <w:rFonts w:ascii="Times New Roman" w:cs="Times New Roman" w:eastAsia="Times New Roman" w:hAnsi="Times New Roman"/>
          <w:b w:val="1"/>
          <w:color w:val="343a40"/>
          <w:sz w:val="24"/>
          <w:szCs w:val="24"/>
          <w:highlight w:val="white"/>
          <w:rtl w:val="0"/>
        </w:rPr>
        <w:t xml:space="preserve">aescina</w:t>
      </w:r>
      <w:r w:rsidDel="00000000" w:rsidR="00000000" w:rsidRPr="00000000">
        <w:rPr>
          <w:rFonts w:ascii="Times New Roman" w:cs="Times New Roman" w:eastAsia="Times New Roman" w:hAnsi="Times New Roman"/>
          <w:color w:val="343a40"/>
          <w:sz w:val="24"/>
          <w:szCs w:val="24"/>
          <w:highlight w:val="white"/>
          <w:rtl w:val="0"/>
        </w:rPr>
        <w:t xml:space="preserve">. Otros componentes son los </w:t>
      </w:r>
      <w:r w:rsidDel="00000000" w:rsidR="00000000" w:rsidRPr="00000000">
        <w:rPr>
          <w:rFonts w:ascii="Times New Roman" w:cs="Times New Roman" w:eastAsia="Times New Roman" w:hAnsi="Times New Roman"/>
          <w:b w:val="1"/>
          <w:color w:val="343a40"/>
          <w:sz w:val="24"/>
          <w:szCs w:val="24"/>
          <w:highlight w:val="white"/>
          <w:rtl w:val="0"/>
        </w:rPr>
        <w:t xml:space="preserve">flavonoides</w:t>
      </w:r>
      <w:r w:rsidDel="00000000" w:rsidR="00000000" w:rsidRPr="00000000">
        <w:rPr>
          <w:rFonts w:ascii="Times New Roman" w:cs="Times New Roman" w:eastAsia="Times New Roman" w:hAnsi="Times New Roman"/>
          <w:color w:val="343a40"/>
          <w:sz w:val="24"/>
          <w:szCs w:val="24"/>
          <w:highlight w:val="white"/>
          <w:rtl w:val="0"/>
        </w:rPr>
        <w:t xml:space="preserve">, e</w:t>
      </w:r>
      <w:r w:rsidDel="00000000" w:rsidR="00000000" w:rsidRPr="00000000">
        <w:rPr>
          <w:rFonts w:ascii="Times New Roman" w:cs="Times New Roman" w:eastAsia="Times New Roman" w:hAnsi="Times New Roman"/>
          <w:b w:val="1"/>
          <w:color w:val="343a40"/>
          <w:sz w:val="24"/>
          <w:szCs w:val="24"/>
          <w:highlight w:val="white"/>
          <w:rtl w:val="0"/>
        </w:rPr>
        <w:t xml:space="preserve">steroles y aceite esencial</w:t>
      </w:r>
      <w:r w:rsidDel="00000000" w:rsidR="00000000" w:rsidRPr="00000000">
        <w:rPr>
          <w:rFonts w:ascii="Times New Roman" w:cs="Times New Roman" w:eastAsia="Times New Roman" w:hAnsi="Times New Roman"/>
          <w:color w:val="343a40"/>
          <w:sz w:val="24"/>
          <w:szCs w:val="24"/>
          <w:highlight w:val="white"/>
          <w:rtl w:val="0"/>
        </w:rPr>
        <w:t xml:space="preserve">.</w:t>
      </w:r>
    </w:p>
    <w:p w:rsidR="00000000" w:rsidDel="00000000" w:rsidP="00000000" w:rsidRDefault="00000000" w:rsidRPr="00000000" w14:paraId="00000043">
      <w:pPr>
        <w:spacing w:after="620" w:before="380" w:line="360" w:lineRule="auto"/>
        <w:rPr>
          <w:rFonts w:ascii="Times New Roman" w:cs="Times New Roman" w:eastAsia="Times New Roman" w:hAnsi="Times New Roman"/>
          <w:color w:val="343a40"/>
          <w:sz w:val="24"/>
          <w:szCs w:val="24"/>
          <w:highlight w:val="white"/>
        </w:rPr>
      </w:pPr>
      <w:r w:rsidDel="00000000" w:rsidR="00000000" w:rsidRPr="00000000">
        <w:rPr>
          <w:rFonts w:ascii="Times New Roman" w:cs="Times New Roman" w:eastAsia="Times New Roman" w:hAnsi="Times New Roman"/>
          <w:color w:val="343a40"/>
          <w:sz w:val="24"/>
          <w:szCs w:val="24"/>
          <w:highlight w:val="white"/>
          <w:rtl w:val="0"/>
        </w:rPr>
        <w:t xml:space="preserve">Las semillas del castaño de Indias y la aescina poseen</w:t>
      </w:r>
      <w:r w:rsidDel="00000000" w:rsidR="00000000" w:rsidRPr="00000000">
        <w:rPr>
          <w:rFonts w:ascii="Times New Roman" w:cs="Times New Roman" w:eastAsia="Times New Roman" w:hAnsi="Times New Roman"/>
          <w:b w:val="1"/>
          <w:color w:val="343a40"/>
          <w:sz w:val="24"/>
          <w:szCs w:val="24"/>
          <w:highlight w:val="white"/>
          <w:rtl w:val="0"/>
        </w:rPr>
        <w:t xml:space="preserve"> actividad antiedematosa</w:t>
      </w:r>
      <w:r w:rsidDel="00000000" w:rsidR="00000000" w:rsidRPr="00000000">
        <w:rPr>
          <w:rFonts w:ascii="Times New Roman" w:cs="Times New Roman" w:eastAsia="Times New Roman" w:hAnsi="Times New Roman"/>
          <w:color w:val="343a40"/>
          <w:sz w:val="24"/>
          <w:szCs w:val="24"/>
          <w:highlight w:val="white"/>
          <w:rtl w:val="0"/>
        </w:rPr>
        <w:t xml:space="preserve">, debida a un aumento en la contractilidad arterial y venosa.</w:t>
      </w:r>
    </w:p>
    <w:p w:rsidR="00000000" w:rsidDel="00000000" w:rsidP="00000000" w:rsidRDefault="00000000" w:rsidRPr="00000000" w14:paraId="00000044">
      <w:pPr>
        <w:spacing w:after="620" w:before="380" w:line="360" w:lineRule="auto"/>
        <w:rPr>
          <w:rFonts w:ascii="Times New Roman" w:cs="Times New Roman" w:eastAsia="Times New Roman" w:hAnsi="Times New Roman"/>
          <w:color w:val="343a40"/>
          <w:sz w:val="24"/>
          <w:szCs w:val="24"/>
          <w:highlight w:val="white"/>
        </w:rPr>
      </w:pPr>
      <w:r w:rsidDel="00000000" w:rsidR="00000000" w:rsidRPr="00000000">
        <w:rPr>
          <w:rFonts w:ascii="Times New Roman" w:cs="Times New Roman" w:eastAsia="Times New Roman" w:hAnsi="Times New Roman"/>
          <w:color w:val="343a40"/>
          <w:sz w:val="24"/>
          <w:szCs w:val="24"/>
          <w:highlight w:val="white"/>
          <w:rtl w:val="0"/>
        </w:rPr>
        <w:t xml:space="preserve">Esta planta se utiliza en el </w:t>
      </w:r>
      <w:r w:rsidDel="00000000" w:rsidR="00000000" w:rsidRPr="00000000">
        <w:rPr>
          <w:rFonts w:ascii="Times New Roman" w:cs="Times New Roman" w:eastAsia="Times New Roman" w:hAnsi="Times New Roman"/>
          <w:b w:val="1"/>
          <w:color w:val="343a40"/>
          <w:sz w:val="24"/>
          <w:szCs w:val="24"/>
          <w:highlight w:val="white"/>
          <w:rtl w:val="0"/>
        </w:rPr>
        <w:t xml:space="preserve">tratamiento de la insuficiencia venosa crónica, hemorroides, varices, piernas pesadas</w:t>
      </w:r>
      <w:r w:rsidDel="00000000" w:rsidR="00000000" w:rsidRPr="00000000">
        <w:rPr>
          <w:rFonts w:ascii="Times New Roman" w:cs="Times New Roman" w:eastAsia="Times New Roman" w:hAnsi="Times New Roman"/>
          <w:color w:val="343a40"/>
          <w:sz w:val="24"/>
          <w:szCs w:val="24"/>
          <w:highlight w:val="white"/>
          <w:rtl w:val="0"/>
        </w:rPr>
        <w:t xml:space="preserve">, secuelas de </w:t>
      </w:r>
      <w:r w:rsidDel="00000000" w:rsidR="00000000" w:rsidRPr="00000000">
        <w:rPr>
          <w:rFonts w:ascii="Times New Roman" w:cs="Times New Roman" w:eastAsia="Times New Roman" w:hAnsi="Times New Roman"/>
          <w:b w:val="1"/>
          <w:color w:val="343a40"/>
          <w:sz w:val="24"/>
          <w:szCs w:val="24"/>
          <w:highlight w:val="white"/>
          <w:rtl w:val="0"/>
        </w:rPr>
        <w:t xml:space="preserve">flebitis y edemas de origen quirúrgico o traumático</w:t>
      </w:r>
      <w:r w:rsidDel="00000000" w:rsidR="00000000" w:rsidRPr="00000000">
        <w:rPr>
          <w:rFonts w:ascii="Times New Roman" w:cs="Times New Roman" w:eastAsia="Times New Roman" w:hAnsi="Times New Roman"/>
          <w:color w:val="343a40"/>
          <w:sz w:val="24"/>
          <w:szCs w:val="24"/>
          <w:highlight w:val="white"/>
          <w:rtl w:val="0"/>
        </w:rPr>
        <w:t xml:space="preserve">. La aescina tiene la misma efectividad que la terapia de compresión, pero es mejor tolerada.</w:t>
      </w:r>
    </w:p>
    <w:p w:rsidR="00000000" w:rsidDel="00000000" w:rsidP="00000000" w:rsidRDefault="00000000" w:rsidRPr="00000000" w14:paraId="00000045">
      <w:pPr>
        <w:spacing w:after="620" w:before="380" w:line="360" w:lineRule="auto"/>
        <w:rPr>
          <w:rFonts w:ascii="Times New Roman" w:cs="Times New Roman" w:eastAsia="Times New Roman" w:hAnsi="Times New Roman"/>
          <w:color w:val="343a40"/>
          <w:sz w:val="24"/>
          <w:szCs w:val="24"/>
          <w:highlight w:val="white"/>
        </w:rPr>
      </w:pPr>
      <w:r w:rsidDel="00000000" w:rsidR="00000000" w:rsidRPr="00000000">
        <w:rPr>
          <w:rFonts w:ascii="Times New Roman" w:cs="Times New Roman" w:eastAsia="Times New Roman" w:hAnsi="Times New Roman"/>
          <w:color w:val="343a40"/>
          <w:sz w:val="24"/>
          <w:szCs w:val="24"/>
          <w:highlight w:val="white"/>
          <w:rtl w:val="0"/>
        </w:rPr>
        <w:t xml:space="preserve">En los ensayos clínicos, la incidencia de</w:t>
      </w:r>
      <w:r w:rsidDel="00000000" w:rsidR="00000000" w:rsidRPr="00000000">
        <w:rPr>
          <w:rFonts w:ascii="Times New Roman" w:cs="Times New Roman" w:eastAsia="Times New Roman" w:hAnsi="Times New Roman"/>
          <w:b w:val="1"/>
          <w:color w:val="343a40"/>
          <w:sz w:val="24"/>
          <w:szCs w:val="24"/>
          <w:highlight w:val="white"/>
          <w:rtl w:val="0"/>
        </w:rPr>
        <w:t xml:space="preserve"> efectos secundarios</w:t>
      </w:r>
      <w:r w:rsidDel="00000000" w:rsidR="00000000" w:rsidRPr="00000000">
        <w:rPr>
          <w:rFonts w:ascii="Times New Roman" w:cs="Times New Roman" w:eastAsia="Times New Roman" w:hAnsi="Times New Roman"/>
          <w:color w:val="343a40"/>
          <w:sz w:val="24"/>
          <w:szCs w:val="24"/>
          <w:highlight w:val="white"/>
          <w:rtl w:val="0"/>
        </w:rPr>
        <w:t xml:space="preserve"> ha sido de entre un 0,9 y un 3 por ciento, observándose</w:t>
      </w:r>
      <w:r w:rsidDel="00000000" w:rsidR="00000000" w:rsidRPr="00000000">
        <w:rPr>
          <w:rFonts w:ascii="Times New Roman" w:cs="Times New Roman" w:eastAsia="Times New Roman" w:hAnsi="Times New Roman"/>
          <w:b w:val="1"/>
          <w:color w:val="343a40"/>
          <w:sz w:val="24"/>
          <w:szCs w:val="24"/>
          <w:highlight w:val="white"/>
          <w:rtl w:val="0"/>
        </w:rPr>
        <w:t xml:space="preserve"> alteraciones gastrointestinales, vértigos y jaquecas</w:t>
      </w:r>
      <w:r w:rsidDel="00000000" w:rsidR="00000000" w:rsidRPr="00000000">
        <w:rPr>
          <w:rFonts w:ascii="Times New Roman" w:cs="Times New Roman" w:eastAsia="Times New Roman" w:hAnsi="Times New Roman"/>
          <w:color w:val="343a40"/>
          <w:sz w:val="24"/>
          <w:szCs w:val="24"/>
          <w:highlight w:val="white"/>
          <w:rtl w:val="0"/>
        </w:rPr>
        <w:t xml:space="preserve">.Esta planta tampoco se recomienda en personas que sufren hemorragias o lesiones ulcerosas de la mucosa digestiva.</w:t>
      </w:r>
    </w:p>
    <w:p w:rsidR="00000000" w:rsidDel="00000000" w:rsidP="00000000" w:rsidRDefault="00000000" w:rsidRPr="00000000" w14:paraId="00000046">
      <w:pPr>
        <w:pStyle w:val="Heading3"/>
        <w:keepNext w:val="0"/>
        <w:keepLines w:val="0"/>
        <w:spacing w:after="460" w:before="680" w:line="288" w:lineRule="auto"/>
        <w:rPr>
          <w:rFonts w:ascii="Verdana" w:cs="Verdana" w:eastAsia="Verdana" w:hAnsi="Verdana"/>
          <w:b w:val="1"/>
          <w:color w:val="343a40"/>
          <w:highlight w:val="white"/>
        </w:rPr>
      </w:pPr>
      <w:bookmarkStart w:colFirst="0" w:colLast="0" w:name="_16n19rzhzmzx" w:id="9"/>
      <w:bookmarkEnd w:id="9"/>
      <w:r w:rsidDel="00000000" w:rsidR="00000000" w:rsidRPr="00000000">
        <w:rPr>
          <w:rtl w:val="0"/>
        </w:rPr>
      </w:r>
    </w:p>
    <w:p w:rsidR="00000000" w:rsidDel="00000000" w:rsidP="00000000" w:rsidRDefault="00000000" w:rsidRPr="00000000" w14:paraId="00000047">
      <w:pPr>
        <w:pStyle w:val="Heading3"/>
        <w:keepNext w:val="0"/>
        <w:keepLines w:val="0"/>
        <w:spacing w:after="460" w:before="680" w:line="288" w:lineRule="auto"/>
        <w:rPr>
          <w:rFonts w:ascii="Verdana" w:cs="Verdana" w:eastAsia="Verdana" w:hAnsi="Verdana"/>
          <w:b w:val="1"/>
          <w:color w:val="343a40"/>
          <w:highlight w:val="white"/>
        </w:rPr>
      </w:pPr>
      <w:bookmarkStart w:colFirst="0" w:colLast="0" w:name="_a6wczv2j36lw" w:id="10"/>
      <w:bookmarkEnd w:id="10"/>
      <w:r w:rsidDel="00000000" w:rsidR="00000000" w:rsidRPr="00000000">
        <w:rPr>
          <w:rFonts w:ascii="Verdana" w:cs="Verdana" w:eastAsia="Verdana" w:hAnsi="Verdana"/>
          <w:b w:val="1"/>
          <w:color w:val="343a40"/>
          <w:highlight w:val="white"/>
          <w:rtl w:val="0"/>
        </w:rPr>
        <w:t xml:space="preserve">Gingko (Ginkgo biloba L.)</w:t>
      </w:r>
    </w:p>
    <w:p w:rsidR="00000000" w:rsidDel="00000000" w:rsidP="00000000" w:rsidRDefault="00000000" w:rsidRPr="00000000" w14:paraId="00000048">
      <w:pPr>
        <w:pStyle w:val="Heading5"/>
        <w:keepNext w:val="0"/>
        <w:keepLines w:val="0"/>
        <w:shd w:fill="ffffff" w:val="clear"/>
        <w:spacing w:after="160" w:before="80" w:line="360" w:lineRule="auto"/>
        <w:rPr>
          <w:rFonts w:ascii="Times New Roman" w:cs="Times New Roman" w:eastAsia="Times New Roman" w:hAnsi="Times New Roman"/>
          <w:b w:val="1"/>
          <w:color w:val="333333"/>
          <w:sz w:val="24"/>
          <w:szCs w:val="24"/>
          <w:highlight w:val="white"/>
        </w:rPr>
      </w:pPr>
      <w:bookmarkStart w:colFirst="0" w:colLast="0" w:name="_3lq95gbdl4xl" w:id="11"/>
      <w:bookmarkEnd w:id="11"/>
      <w:r w:rsidDel="00000000" w:rsidR="00000000" w:rsidRPr="00000000">
        <w:rPr>
          <w:rFonts w:ascii="Times New Roman" w:cs="Times New Roman" w:eastAsia="Times New Roman" w:hAnsi="Times New Roman"/>
          <w:b w:val="1"/>
          <w:color w:val="333333"/>
          <w:sz w:val="24"/>
          <w:szCs w:val="24"/>
          <w:highlight w:val="white"/>
          <w:rtl w:val="0"/>
        </w:rPr>
        <w:t xml:space="preserve">Droga vegetal</w:t>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295275</wp:posOffset>
            </wp:positionV>
            <wp:extent cx="2147888" cy="2787140"/>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147888" cy="2787140"/>
                    </a:xfrm>
                    <a:prstGeom prst="rect"/>
                    <a:ln/>
                  </pic:spPr>
                </pic:pic>
              </a:graphicData>
            </a:graphic>
          </wp:anchor>
        </w:drawing>
      </w:r>
    </w:p>
    <w:p w:rsidR="00000000" w:rsidDel="00000000" w:rsidP="00000000" w:rsidRDefault="00000000" w:rsidRPr="00000000" w14:paraId="00000049">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Hoja de ginkgo (Ginkgonis folium). Según la Farmacopea Europea, consiste en la hoja, entera o fragmentada de </w:t>
      </w:r>
      <w:r w:rsidDel="00000000" w:rsidR="00000000" w:rsidRPr="00000000">
        <w:rPr>
          <w:rFonts w:ascii="Times New Roman" w:cs="Times New Roman" w:eastAsia="Times New Roman" w:hAnsi="Times New Roman"/>
          <w:i w:val="1"/>
          <w:color w:val="333333"/>
          <w:sz w:val="24"/>
          <w:szCs w:val="24"/>
          <w:highlight w:val="white"/>
          <w:rtl w:val="0"/>
        </w:rPr>
        <w:t xml:space="preserve">Ginkgo biloba</w:t>
      </w:r>
      <w:r w:rsidDel="00000000" w:rsidR="00000000" w:rsidRPr="00000000">
        <w:rPr>
          <w:rFonts w:ascii="Times New Roman" w:cs="Times New Roman" w:eastAsia="Times New Roman" w:hAnsi="Times New Roman"/>
          <w:color w:val="333333"/>
          <w:sz w:val="24"/>
          <w:szCs w:val="24"/>
          <w:highlight w:val="white"/>
          <w:rtl w:val="0"/>
        </w:rPr>
        <w:t xml:space="preserve"> L., con un contenido mínimo de un 0,5% de flavonoides expresados como heterósidos flavónicos, respecto a la droga seca.</w:t>
      </w:r>
    </w:p>
    <w:p w:rsidR="00000000" w:rsidDel="00000000" w:rsidP="00000000" w:rsidRDefault="00000000" w:rsidRPr="00000000" w14:paraId="0000004A">
      <w:pPr>
        <w:pStyle w:val="Heading5"/>
        <w:keepNext w:val="0"/>
        <w:keepLines w:val="0"/>
        <w:shd w:fill="ffffff" w:val="clear"/>
        <w:spacing w:after="160" w:before="80" w:line="360" w:lineRule="auto"/>
        <w:rPr>
          <w:rFonts w:ascii="Times New Roman" w:cs="Times New Roman" w:eastAsia="Times New Roman" w:hAnsi="Times New Roman"/>
          <w:b w:val="1"/>
          <w:color w:val="333333"/>
          <w:sz w:val="24"/>
          <w:szCs w:val="24"/>
          <w:highlight w:val="white"/>
        </w:rPr>
      </w:pPr>
      <w:bookmarkStart w:colFirst="0" w:colLast="0" w:name="_t7gxzrnzmks6" w:id="12"/>
      <w:bookmarkEnd w:id="12"/>
      <w:r w:rsidDel="00000000" w:rsidR="00000000" w:rsidRPr="00000000">
        <w:rPr>
          <w:rFonts w:ascii="Times New Roman" w:cs="Times New Roman" w:eastAsia="Times New Roman" w:hAnsi="Times New Roman"/>
          <w:b w:val="1"/>
          <w:color w:val="333333"/>
          <w:sz w:val="24"/>
          <w:szCs w:val="24"/>
          <w:highlight w:val="white"/>
          <w:rtl w:val="0"/>
        </w:rPr>
        <w:t xml:space="preserve">Principales constituyentes</w:t>
      </w:r>
    </w:p>
    <w:p w:rsidR="00000000" w:rsidDel="00000000" w:rsidP="00000000" w:rsidRDefault="00000000" w:rsidRPr="00000000" w14:paraId="0000004B">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Compuestos flavónicos (0,5-1%): flavonoles libres como quercetina, kempferol, isorramnetol; </w:t>
      </w:r>
      <w:r w:rsidDel="00000000" w:rsidR="00000000" w:rsidRPr="00000000">
        <w:rPr>
          <w:rFonts w:ascii="Times New Roman" w:cs="Times New Roman" w:eastAsia="Times New Roman" w:hAnsi="Times New Roman"/>
          <w:i w:val="1"/>
          <w:color w:val="333333"/>
          <w:sz w:val="24"/>
          <w:szCs w:val="24"/>
          <w:highlight w:val="white"/>
          <w:rtl w:val="0"/>
        </w:rPr>
        <w:t xml:space="preserve">p</w:t>
      </w:r>
      <w:r w:rsidDel="00000000" w:rsidR="00000000" w:rsidRPr="00000000">
        <w:rPr>
          <w:rFonts w:ascii="Cardo" w:cs="Cardo" w:eastAsia="Cardo" w:hAnsi="Cardo"/>
          <w:color w:val="333333"/>
          <w:sz w:val="24"/>
          <w:szCs w:val="24"/>
          <w:highlight w:val="white"/>
          <w:rtl w:val="0"/>
        </w:rPr>
        <w:t xml:space="preserve">-hidroxicinamatos de glucoramnósidos de quercetina y kempferol; biflavonas C-3' → C-.</w:t>
      </w:r>
    </w:p>
    <w:p w:rsidR="00000000" w:rsidDel="00000000" w:rsidP="00000000" w:rsidRDefault="00000000" w:rsidRPr="00000000" w14:paraId="0000004C">
      <w:pPr>
        <w:pStyle w:val="Heading5"/>
        <w:keepNext w:val="0"/>
        <w:keepLines w:val="0"/>
        <w:shd w:fill="ffffff" w:val="clear"/>
        <w:spacing w:after="160" w:before="80" w:line="360" w:lineRule="auto"/>
        <w:rPr>
          <w:rFonts w:ascii="Times New Roman" w:cs="Times New Roman" w:eastAsia="Times New Roman" w:hAnsi="Times New Roman"/>
          <w:b w:val="1"/>
          <w:color w:val="333333"/>
          <w:sz w:val="24"/>
          <w:szCs w:val="24"/>
          <w:highlight w:val="white"/>
        </w:rPr>
      </w:pPr>
      <w:bookmarkStart w:colFirst="0" w:colLast="0" w:name="_tzoiwqtpm334" w:id="13"/>
      <w:bookmarkEnd w:id="13"/>
      <w:r w:rsidDel="00000000" w:rsidR="00000000" w:rsidRPr="00000000">
        <w:rPr>
          <w:rFonts w:ascii="Times New Roman" w:cs="Times New Roman" w:eastAsia="Times New Roman" w:hAnsi="Times New Roman"/>
          <w:b w:val="1"/>
          <w:color w:val="333333"/>
          <w:sz w:val="24"/>
          <w:szCs w:val="24"/>
          <w:highlight w:val="white"/>
          <w:rtl w:val="0"/>
        </w:rPr>
        <w:t xml:space="preserve">Acción farmacológica</w:t>
      </w:r>
    </w:p>
    <w:p w:rsidR="00000000" w:rsidDel="00000000" w:rsidP="00000000" w:rsidRDefault="00000000" w:rsidRPr="00000000" w14:paraId="0000004D">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La hoja de ginkgo presenta actividad vasodilatadora arterial, venotónica. reforzadora de la resistencia capilar y antiagregante plaquetaria (antagonista del factor activador de plaquetas [PAF]).</w:t>
      </w:r>
    </w:p>
    <w:p w:rsidR="00000000" w:rsidDel="00000000" w:rsidP="00000000" w:rsidRDefault="00000000" w:rsidRPr="00000000" w14:paraId="0000004E">
      <w:pPr>
        <w:pStyle w:val="Heading5"/>
        <w:keepNext w:val="0"/>
        <w:keepLines w:val="0"/>
        <w:shd w:fill="ffffff" w:val="clear"/>
        <w:spacing w:after="160" w:before="80" w:line="360" w:lineRule="auto"/>
        <w:rPr>
          <w:rFonts w:ascii="Times New Roman" w:cs="Times New Roman" w:eastAsia="Times New Roman" w:hAnsi="Times New Roman"/>
          <w:b w:val="1"/>
          <w:color w:val="333333"/>
          <w:sz w:val="24"/>
          <w:szCs w:val="24"/>
          <w:highlight w:val="white"/>
        </w:rPr>
      </w:pPr>
      <w:bookmarkStart w:colFirst="0" w:colLast="0" w:name="_vkojs8ex8tx2" w:id="14"/>
      <w:bookmarkEnd w:id="14"/>
      <w:r w:rsidDel="00000000" w:rsidR="00000000" w:rsidRPr="00000000">
        <w:rPr>
          <w:rFonts w:ascii="Times New Roman" w:cs="Times New Roman" w:eastAsia="Times New Roman" w:hAnsi="Times New Roman"/>
          <w:b w:val="1"/>
          <w:color w:val="333333"/>
          <w:sz w:val="24"/>
          <w:szCs w:val="24"/>
          <w:highlight w:val="white"/>
          <w:rtl w:val="0"/>
        </w:rPr>
        <w:t xml:space="preserve">Indicaciones / recomendaciones</w:t>
      </w:r>
    </w:p>
    <w:p w:rsidR="00000000" w:rsidDel="00000000" w:rsidP="00000000" w:rsidRDefault="00000000" w:rsidRPr="00000000" w14:paraId="0000004F">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ESCOP y la Comisión E aprueban la utilización del extracto seco refinado y cuantificado*, con una RDE: 35-67:1, para las indicaciones de Trastornos cognitivos, incluidos demencia .</w:t>
      </w:r>
    </w:p>
    <w:p w:rsidR="00000000" w:rsidDel="00000000" w:rsidP="00000000" w:rsidRDefault="00000000" w:rsidRPr="00000000" w14:paraId="00000050">
      <w:pPr>
        <w:pStyle w:val="Heading5"/>
        <w:keepNext w:val="0"/>
        <w:keepLines w:val="0"/>
        <w:shd w:fill="ffffff" w:val="clear"/>
        <w:spacing w:after="160" w:before="80" w:line="360" w:lineRule="auto"/>
        <w:rPr>
          <w:rFonts w:ascii="Times New Roman" w:cs="Times New Roman" w:eastAsia="Times New Roman" w:hAnsi="Times New Roman"/>
          <w:color w:val="333333"/>
          <w:sz w:val="24"/>
          <w:szCs w:val="24"/>
          <w:highlight w:val="white"/>
        </w:rPr>
      </w:pPr>
      <w:bookmarkStart w:colFirst="0" w:colLast="0" w:name="_1zrkuookfgn3" w:id="15"/>
      <w:bookmarkEnd w:id="15"/>
      <w:r w:rsidDel="00000000" w:rsidR="00000000" w:rsidRPr="00000000">
        <w:rPr>
          <w:rFonts w:ascii="Times New Roman" w:cs="Times New Roman" w:eastAsia="Times New Roman" w:hAnsi="Times New Roman"/>
          <w:b w:val="1"/>
          <w:color w:val="333333"/>
          <w:sz w:val="24"/>
          <w:szCs w:val="24"/>
          <w:highlight w:val="white"/>
          <w:rtl w:val="0"/>
        </w:rPr>
        <w:t xml:space="preserve">Posología / modo de empleo</w:t>
      </w:r>
      <w:r w:rsidDel="00000000" w:rsidR="00000000" w:rsidRPr="00000000">
        <w:rPr>
          <w:rtl w:val="0"/>
        </w:rPr>
      </w:r>
    </w:p>
    <w:p w:rsidR="00000000" w:rsidDel="00000000" w:rsidP="00000000" w:rsidRDefault="00000000" w:rsidRPr="00000000" w14:paraId="00000051">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Para el tratamiento sintomático de insuficiencia cerebrovascular ligera o moderada: 120-240 mg de extracto seco refinado y cuantificado.</w:t>
      </w:r>
    </w:p>
    <w:p w:rsidR="00000000" w:rsidDel="00000000" w:rsidP="00000000" w:rsidRDefault="00000000" w:rsidRPr="00000000" w14:paraId="00000052">
      <w:pPr>
        <w:pStyle w:val="Heading5"/>
        <w:keepNext w:val="0"/>
        <w:keepLines w:val="0"/>
        <w:shd w:fill="ffffff" w:val="clear"/>
        <w:spacing w:after="160" w:before="80" w:line="360" w:lineRule="auto"/>
        <w:rPr>
          <w:rFonts w:ascii="Times New Roman" w:cs="Times New Roman" w:eastAsia="Times New Roman" w:hAnsi="Times New Roman"/>
          <w:b w:val="1"/>
          <w:color w:val="333333"/>
          <w:sz w:val="24"/>
          <w:szCs w:val="24"/>
          <w:highlight w:val="white"/>
        </w:rPr>
      </w:pPr>
      <w:bookmarkStart w:colFirst="0" w:colLast="0" w:name="_wegzhvoo6tgn" w:id="16"/>
      <w:bookmarkEnd w:id="16"/>
      <w:r w:rsidDel="00000000" w:rsidR="00000000" w:rsidRPr="00000000">
        <w:rPr>
          <w:rFonts w:ascii="Times New Roman" w:cs="Times New Roman" w:eastAsia="Times New Roman" w:hAnsi="Times New Roman"/>
          <w:b w:val="1"/>
          <w:color w:val="333333"/>
          <w:sz w:val="24"/>
          <w:szCs w:val="24"/>
          <w:highlight w:val="white"/>
          <w:rtl w:val="0"/>
        </w:rPr>
        <w:t xml:space="preserve">Contraindicaciones</w:t>
      </w:r>
    </w:p>
    <w:p w:rsidR="00000000" w:rsidDel="00000000" w:rsidP="00000000" w:rsidRDefault="00000000" w:rsidRPr="00000000" w14:paraId="00000053">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Hipersensibilidad a la droga. Embarazo, lactancia.</w:t>
      </w:r>
    </w:p>
    <w:p w:rsidR="00000000" w:rsidDel="00000000" w:rsidP="00000000" w:rsidRDefault="00000000" w:rsidRPr="00000000" w14:paraId="00000054">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55">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56">
      <w:pPr>
        <w:shd w:fill="ffffff" w:val="clear"/>
        <w:spacing w:after="160" w:line="368.1818181818182"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57">
      <w:pPr>
        <w:spacing w:after="620" w:before="380" w:line="360" w:lineRule="auto"/>
        <w:rPr>
          <w:rFonts w:ascii="Times New Roman" w:cs="Times New Roman" w:eastAsia="Times New Roman" w:hAnsi="Times New Roman"/>
          <w:color w:val="343a40"/>
          <w:sz w:val="24"/>
          <w:szCs w:val="24"/>
          <w:highlight w:val="white"/>
        </w:rPr>
      </w:pPr>
      <w:r w:rsidDel="00000000" w:rsidR="00000000" w:rsidRPr="00000000">
        <w:rPr>
          <w:rtl w:val="0"/>
        </w:rPr>
      </w:r>
    </w:p>
    <w:p w:rsidR="00000000" w:rsidDel="00000000" w:rsidP="00000000" w:rsidRDefault="00000000" w:rsidRPr="00000000" w14:paraId="00000058">
      <w:pPr>
        <w:spacing w:after="240" w:line="360" w:lineRule="auto"/>
        <w:rPr>
          <w:rFonts w:ascii="Times New Roman" w:cs="Times New Roman" w:eastAsia="Times New Roman" w:hAnsi="Times New Roman"/>
          <w:color w:val="343a40"/>
          <w:sz w:val="24"/>
          <w:szCs w:val="24"/>
          <w:highlight w:val="white"/>
        </w:rPr>
      </w:pPr>
      <w:r w:rsidDel="00000000" w:rsidR="00000000" w:rsidRPr="00000000">
        <w:rPr>
          <w:rtl w:val="0"/>
        </w:rPr>
      </w:r>
    </w:p>
    <w:p w:rsidR="00000000" w:rsidDel="00000000" w:rsidP="00000000" w:rsidRDefault="00000000" w:rsidRPr="00000000" w14:paraId="00000059">
      <w:pPr>
        <w:rPr>
          <w:rFonts w:ascii="Verdana" w:cs="Verdana" w:eastAsia="Verdana" w:hAnsi="Verdana"/>
          <w:color w:val="333333"/>
          <w:sz w:val="24"/>
          <w:szCs w:val="24"/>
          <w:highlight w:val="white"/>
        </w:rPr>
      </w:pPr>
      <w:r w:rsidDel="00000000" w:rsidR="00000000" w:rsidRPr="00000000">
        <w:rPr>
          <w:rtl w:val="0"/>
        </w:rPr>
      </w:r>
    </w:p>
    <w:sectPr>
      <w:headerReference r:id="rId12" w:type="default"/>
      <w:footerReference r:id="rId13"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Cardo">
    <w:embedRegular w:fontKey="{00000000-0000-0000-0000-000000000000}" r:id="rId1" w:subsetted="0"/>
    <w:embedBold w:fontKey="{00000000-0000-0000-0000-000000000000}" r:id="rId2" w:subsetted="0"/>
    <w:embedItalic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rFonts w:ascii="Helvetica Neue" w:cs="Helvetica Neue" w:eastAsia="Helvetica Neue" w:hAnsi="Helvetica Neue"/>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HelveticaNeue-regular.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